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0A7F" w14:textId="77777777" w:rsidR="00292738" w:rsidRPr="009607B9" w:rsidRDefault="00292738" w:rsidP="004A3971">
      <w:pPr>
        <w:spacing w:after="0" w:line="240" w:lineRule="auto"/>
        <w:rPr>
          <w:rFonts w:cstheme="minorHAnsi"/>
          <w:b/>
        </w:rPr>
      </w:pPr>
      <w:r w:rsidRPr="009607B9">
        <w:rPr>
          <w:rFonts w:cstheme="minorHAnsi"/>
          <w:b/>
        </w:rPr>
        <w:t>Healthcare Fraud Prevention Partnership</w:t>
      </w:r>
    </w:p>
    <w:p w14:paraId="210C95A9" w14:textId="076F35F2" w:rsidR="00292738" w:rsidRPr="009607B9" w:rsidRDefault="00E8249B" w:rsidP="004A3971">
      <w:pPr>
        <w:spacing w:after="0" w:line="240" w:lineRule="auto"/>
        <w:rPr>
          <w:rFonts w:cstheme="minorHAnsi"/>
          <w:b/>
        </w:rPr>
      </w:pPr>
      <w:r w:rsidRPr="009607B9">
        <w:rPr>
          <w:rFonts w:cstheme="minorHAnsi"/>
          <w:b/>
        </w:rPr>
        <w:t>Special Session on Marketplace Fraud and Opioids</w:t>
      </w:r>
    </w:p>
    <w:p w14:paraId="7AD640F8" w14:textId="77777777" w:rsidR="00292738" w:rsidRPr="009607B9" w:rsidRDefault="00292738" w:rsidP="004A3971">
      <w:pPr>
        <w:spacing w:after="0" w:line="240" w:lineRule="auto"/>
        <w:rPr>
          <w:rFonts w:cstheme="minorHAnsi"/>
          <w:b/>
        </w:rPr>
      </w:pPr>
      <w:r w:rsidRPr="009607B9">
        <w:rPr>
          <w:rFonts w:cstheme="minorHAnsi"/>
          <w:b/>
        </w:rPr>
        <w:t>October 20, 2016</w:t>
      </w:r>
    </w:p>
    <w:p w14:paraId="34A605A9" w14:textId="7579D516" w:rsidR="00292738" w:rsidRPr="009607B9" w:rsidRDefault="00292738" w:rsidP="004A3971">
      <w:pPr>
        <w:spacing w:after="0" w:line="240" w:lineRule="auto"/>
        <w:rPr>
          <w:rFonts w:cstheme="minorHAnsi"/>
          <w:b/>
        </w:rPr>
      </w:pPr>
      <w:r w:rsidRPr="009607B9">
        <w:rPr>
          <w:rFonts w:cstheme="minorHAnsi"/>
          <w:b/>
        </w:rPr>
        <w:t>Executive Notes</w:t>
      </w:r>
    </w:p>
    <w:p w14:paraId="7CC98B40" w14:textId="77777777" w:rsidR="00666601" w:rsidRPr="009607B9" w:rsidRDefault="00666601" w:rsidP="004A3971">
      <w:pPr>
        <w:spacing w:after="0" w:line="240" w:lineRule="auto"/>
        <w:rPr>
          <w:rFonts w:cstheme="minorHAnsi"/>
          <w:b/>
        </w:rPr>
      </w:pPr>
    </w:p>
    <w:p w14:paraId="5EF87275" w14:textId="19822919" w:rsidR="007A5EED" w:rsidRPr="009607B9" w:rsidRDefault="00D344AB" w:rsidP="004A3971">
      <w:pPr>
        <w:spacing w:after="0" w:line="240" w:lineRule="auto"/>
        <w:rPr>
          <w:rFonts w:eastAsiaTheme="majorEastAsia" w:cstheme="minorHAnsi"/>
          <w:bCs/>
        </w:rPr>
      </w:pPr>
      <w:r w:rsidRPr="00D344AB">
        <w:rPr>
          <w:rFonts w:eastAsiaTheme="majorEastAsia" w:cstheme="minorHAnsi"/>
          <w:bCs/>
        </w:rPr>
        <w:t>The Healthcare Fraud Prevention Partnership (HFPP) Special Session on Marketplace Fraud and Opioids was held on October 20, 2016, in Woodlawn, MD at the Centers for Medicare &amp; Medicaid Services (CMS), Center for Program Integrity (CPI) Command Center. A total of 58 participants across 26 federal, state, public, and private organizations, including CMS, attended the event.</w:t>
      </w:r>
    </w:p>
    <w:p w14:paraId="059A1EBC" w14:textId="77777777" w:rsidR="007A5EED" w:rsidRPr="009607B9" w:rsidRDefault="007A5EED" w:rsidP="004A3971">
      <w:pPr>
        <w:spacing w:after="0" w:line="240" w:lineRule="auto"/>
        <w:rPr>
          <w:rFonts w:eastAsiaTheme="majorEastAsia" w:cstheme="minorHAnsi"/>
          <w:bCs/>
        </w:rPr>
      </w:pPr>
    </w:p>
    <w:p w14:paraId="2EFE1EFA" w14:textId="7FEF87DB" w:rsidR="00AC3B87" w:rsidRPr="009607B9" w:rsidRDefault="00B06499" w:rsidP="006D16E1">
      <w:pPr>
        <w:spacing w:after="0" w:line="240" w:lineRule="auto"/>
        <w:rPr>
          <w:rFonts w:eastAsiaTheme="majorEastAsia" w:cstheme="minorHAnsi"/>
          <w:bCs/>
        </w:rPr>
      </w:pPr>
      <w:r w:rsidRPr="009607B9">
        <w:rPr>
          <w:rFonts w:eastAsiaTheme="majorEastAsia" w:cstheme="minorHAnsi"/>
          <w:bCs/>
        </w:rPr>
        <w:t xml:space="preserve">This special two-part </w:t>
      </w:r>
      <w:r w:rsidR="009E149D" w:rsidRPr="009607B9">
        <w:rPr>
          <w:rFonts w:eastAsiaTheme="majorEastAsia" w:cstheme="minorHAnsi"/>
          <w:bCs/>
        </w:rPr>
        <w:t>meeting</w:t>
      </w:r>
      <w:r w:rsidRPr="009607B9">
        <w:rPr>
          <w:rFonts w:eastAsiaTheme="majorEastAsia" w:cstheme="minorHAnsi"/>
          <w:bCs/>
        </w:rPr>
        <w:t xml:space="preserve"> </w:t>
      </w:r>
      <w:r w:rsidR="00187D28" w:rsidRPr="009607B9">
        <w:rPr>
          <w:rFonts w:eastAsiaTheme="majorEastAsia" w:cstheme="minorHAnsi"/>
          <w:bCs/>
        </w:rPr>
        <w:t xml:space="preserve">included </w:t>
      </w:r>
      <w:r w:rsidR="00791CAA" w:rsidRPr="009607B9">
        <w:rPr>
          <w:rFonts w:eastAsiaTheme="majorEastAsia" w:cstheme="minorHAnsi"/>
          <w:bCs/>
        </w:rPr>
        <w:t>data and information sharing, education, and networking</w:t>
      </w:r>
      <w:r w:rsidR="003E5A36" w:rsidRPr="009607B9">
        <w:rPr>
          <w:rFonts w:eastAsiaTheme="majorEastAsia" w:cstheme="minorHAnsi"/>
          <w:bCs/>
        </w:rPr>
        <w:t xml:space="preserve">. The </w:t>
      </w:r>
      <w:r w:rsidR="008427CA" w:rsidRPr="009607B9">
        <w:rPr>
          <w:rFonts w:eastAsiaTheme="majorEastAsia" w:cstheme="minorHAnsi"/>
          <w:bCs/>
        </w:rPr>
        <w:t xml:space="preserve">sessions </w:t>
      </w:r>
      <w:r w:rsidR="007F09D5" w:rsidRPr="009607B9">
        <w:rPr>
          <w:rFonts w:eastAsiaTheme="majorEastAsia" w:cstheme="minorHAnsi"/>
          <w:bCs/>
        </w:rPr>
        <w:t xml:space="preserve">focused </w:t>
      </w:r>
      <w:r w:rsidR="001D48CA" w:rsidRPr="009607B9">
        <w:rPr>
          <w:rFonts w:eastAsiaTheme="majorEastAsia" w:cstheme="minorHAnsi"/>
          <w:bCs/>
          <w:noProof/>
        </w:rPr>
        <w:t>on</w:t>
      </w:r>
      <w:r w:rsidR="001A3E01" w:rsidRPr="009607B9">
        <w:rPr>
          <w:rFonts w:eastAsiaTheme="majorEastAsia" w:cstheme="minorHAnsi"/>
          <w:bCs/>
        </w:rPr>
        <w:t xml:space="preserve"> </w:t>
      </w:r>
      <w:r w:rsidR="003E5A36" w:rsidRPr="009607B9">
        <w:rPr>
          <w:rFonts w:eastAsiaTheme="majorEastAsia" w:cstheme="minorHAnsi"/>
          <w:bCs/>
        </w:rPr>
        <w:t xml:space="preserve">the following </w:t>
      </w:r>
      <w:r w:rsidR="001A3E01" w:rsidRPr="009607B9">
        <w:rPr>
          <w:rFonts w:eastAsiaTheme="majorEastAsia" w:cstheme="minorHAnsi"/>
          <w:bCs/>
        </w:rPr>
        <w:t>areas</w:t>
      </w:r>
      <w:r w:rsidR="009A6631" w:rsidRPr="009607B9">
        <w:rPr>
          <w:rFonts w:eastAsiaTheme="majorEastAsia" w:cstheme="minorHAnsi"/>
          <w:bCs/>
        </w:rPr>
        <w:t xml:space="preserve"> </w:t>
      </w:r>
      <w:r w:rsidR="007F09D5" w:rsidRPr="009607B9">
        <w:rPr>
          <w:rFonts w:eastAsiaTheme="majorEastAsia" w:cstheme="minorHAnsi"/>
          <w:bCs/>
        </w:rPr>
        <w:t xml:space="preserve">that Partners </w:t>
      </w:r>
      <w:r w:rsidR="001A3E01" w:rsidRPr="009607B9">
        <w:rPr>
          <w:rFonts w:eastAsiaTheme="majorEastAsia" w:cstheme="minorHAnsi"/>
          <w:bCs/>
        </w:rPr>
        <w:t>identified as growing causes of concern</w:t>
      </w:r>
      <w:r w:rsidR="007F09D5" w:rsidRPr="009607B9">
        <w:rPr>
          <w:rFonts w:eastAsiaTheme="majorEastAsia" w:cstheme="minorHAnsi"/>
          <w:bCs/>
        </w:rPr>
        <w:t>s</w:t>
      </w:r>
      <w:r w:rsidR="003E5A36" w:rsidRPr="009607B9">
        <w:rPr>
          <w:rFonts w:eastAsiaTheme="majorEastAsia" w:cstheme="minorHAnsi"/>
          <w:bCs/>
        </w:rPr>
        <w:t>:</w:t>
      </w:r>
      <w:r w:rsidR="007A5EED" w:rsidRPr="009607B9">
        <w:rPr>
          <w:rFonts w:eastAsiaTheme="majorEastAsia" w:cstheme="minorHAnsi"/>
          <w:bCs/>
        </w:rPr>
        <w:t xml:space="preserve"> </w:t>
      </w:r>
      <w:r w:rsidR="006D16E1" w:rsidRPr="009607B9">
        <w:rPr>
          <w:rFonts w:eastAsiaTheme="majorEastAsia" w:cstheme="minorHAnsi"/>
          <w:bCs/>
        </w:rPr>
        <w:t xml:space="preserve"> </w:t>
      </w:r>
      <w:r w:rsidR="00FA6CA9" w:rsidRPr="009607B9">
        <w:rPr>
          <w:rFonts w:eastAsiaTheme="majorEastAsia" w:cstheme="minorHAnsi"/>
          <w:bCs/>
        </w:rPr>
        <w:t>Marketplace agent-broker misconduct and enrollment fraud</w:t>
      </w:r>
      <w:r w:rsidR="006D16E1" w:rsidRPr="009607B9">
        <w:rPr>
          <w:rFonts w:eastAsiaTheme="majorEastAsia" w:cstheme="minorHAnsi"/>
          <w:bCs/>
        </w:rPr>
        <w:t xml:space="preserve">; </w:t>
      </w:r>
      <w:r w:rsidR="00BD66E7" w:rsidRPr="009607B9">
        <w:rPr>
          <w:rFonts w:eastAsiaTheme="majorEastAsia" w:cstheme="minorHAnsi"/>
          <w:bCs/>
        </w:rPr>
        <w:t>Provider fraud in the Marketplace in</w:t>
      </w:r>
      <w:r w:rsidR="00173D12" w:rsidRPr="009607B9">
        <w:rPr>
          <w:rFonts w:eastAsiaTheme="majorEastAsia" w:cstheme="minorHAnsi"/>
          <w:bCs/>
        </w:rPr>
        <w:t>volving</w:t>
      </w:r>
      <w:r w:rsidR="00BD66E7" w:rsidRPr="009607B9">
        <w:rPr>
          <w:rFonts w:eastAsiaTheme="majorEastAsia" w:cstheme="minorHAnsi"/>
          <w:bCs/>
        </w:rPr>
        <w:t xml:space="preserve"> </w:t>
      </w:r>
      <w:r w:rsidR="00173D12" w:rsidRPr="009607B9">
        <w:rPr>
          <w:rFonts w:eastAsiaTheme="majorEastAsia" w:cstheme="minorHAnsi"/>
          <w:bCs/>
        </w:rPr>
        <w:t>drug screening labs</w:t>
      </w:r>
      <w:r w:rsidR="00051F2E" w:rsidRPr="009607B9">
        <w:rPr>
          <w:rFonts w:eastAsiaTheme="majorEastAsia" w:cstheme="minorHAnsi"/>
          <w:bCs/>
        </w:rPr>
        <w:t>,</w:t>
      </w:r>
      <w:r w:rsidR="006D16E1" w:rsidRPr="009607B9">
        <w:rPr>
          <w:rFonts w:eastAsiaTheme="majorEastAsia" w:cstheme="minorHAnsi"/>
          <w:bCs/>
        </w:rPr>
        <w:t xml:space="preserve"> p</w:t>
      </w:r>
      <w:r w:rsidR="00173D12" w:rsidRPr="009607B9">
        <w:rPr>
          <w:rFonts w:eastAsiaTheme="majorEastAsia" w:cstheme="minorHAnsi"/>
          <w:bCs/>
        </w:rPr>
        <w:t xml:space="preserve">rescribing physicians and </w:t>
      </w:r>
      <w:r w:rsidR="00BD66E7" w:rsidRPr="009607B9">
        <w:rPr>
          <w:rFonts w:eastAsiaTheme="majorEastAsia" w:cstheme="minorHAnsi"/>
          <w:bCs/>
        </w:rPr>
        <w:t>substance a</w:t>
      </w:r>
      <w:r w:rsidR="007A5EED" w:rsidRPr="009607B9">
        <w:rPr>
          <w:rFonts w:eastAsiaTheme="majorEastAsia" w:cstheme="minorHAnsi"/>
          <w:bCs/>
        </w:rPr>
        <w:t>buse facilities and</w:t>
      </w:r>
      <w:r w:rsidR="00173D12" w:rsidRPr="009607B9">
        <w:rPr>
          <w:rFonts w:eastAsiaTheme="majorEastAsia" w:cstheme="minorHAnsi"/>
          <w:bCs/>
        </w:rPr>
        <w:t xml:space="preserve"> their relationships with recruiters and non-clinical sober homes</w:t>
      </w:r>
      <w:r w:rsidR="006D16E1" w:rsidRPr="009607B9">
        <w:rPr>
          <w:rFonts w:eastAsiaTheme="majorEastAsia" w:cstheme="minorHAnsi"/>
          <w:bCs/>
        </w:rPr>
        <w:t xml:space="preserve">; </w:t>
      </w:r>
      <w:r w:rsidR="00FA6CA9" w:rsidRPr="009607B9">
        <w:rPr>
          <w:rFonts w:eastAsiaTheme="majorEastAsia" w:cstheme="minorHAnsi"/>
          <w:bCs/>
        </w:rPr>
        <w:t>Feedback on 10 opioi</w:t>
      </w:r>
      <w:r w:rsidR="00173D12" w:rsidRPr="009607B9">
        <w:rPr>
          <w:rFonts w:eastAsiaTheme="majorEastAsia" w:cstheme="minorHAnsi"/>
          <w:bCs/>
        </w:rPr>
        <w:t>d</w:t>
      </w:r>
      <w:r w:rsidR="00FA6CA9" w:rsidRPr="009607B9">
        <w:rPr>
          <w:rFonts w:eastAsiaTheme="majorEastAsia" w:cstheme="minorHAnsi"/>
          <w:bCs/>
        </w:rPr>
        <w:t xml:space="preserve"> abuse prevention strategies</w:t>
      </w:r>
      <w:r w:rsidR="006D16E1" w:rsidRPr="009607B9">
        <w:rPr>
          <w:rFonts w:eastAsiaTheme="majorEastAsia" w:cstheme="minorHAnsi"/>
          <w:bCs/>
        </w:rPr>
        <w:t xml:space="preserve"> and </w:t>
      </w:r>
      <w:r w:rsidR="00173D12" w:rsidRPr="009607B9">
        <w:rPr>
          <w:rFonts w:eastAsiaTheme="majorEastAsia" w:cstheme="minorHAnsi"/>
          <w:bCs/>
        </w:rPr>
        <w:t>B</w:t>
      </w:r>
      <w:r w:rsidR="00002008" w:rsidRPr="009607B9">
        <w:rPr>
          <w:rFonts w:eastAsiaTheme="majorEastAsia" w:cstheme="minorHAnsi"/>
          <w:bCs/>
        </w:rPr>
        <w:t xml:space="preserve">est practices payers can implement to address </w:t>
      </w:r>
      <w:r w:rsidR="008427CA" w:rsidRPr="009607B9">
        <w:rPr>
          <w:rFonts w:eastAsiaTheme="majorEastAsia" w:cstheme="minorHAnsi"/>
          <w:bCs/>
        </w:rPr>
        <w:t xml:space="preserve">prescription </w:t>
      </w:r>
      <w:r w:rsidR="00002008" w:rsidRPr="009607B9">
        <w:rPr>
          <w:rFonts w:eastAsiaTheme="majorEastAsia" w:cstheme="minorHAnsi"/>
          <w:bCs/>
        </w:rPr>
        <w:t xml:space="preserve">opioid </w:t>
      </w:r>
      <w:r w:rsidR="00BD66E7" w:rsidRPr="009607B9">
        <w:rPr>
          <w:rFonts w:eastAsiaTheme="majorEastAsia" w:cstheme="minorHAnsi"/>
          <w:bCs/>
        </w:rPr>
        <w:t>abuse.</w:t>
      </w:r>
    </w:p>
    <w:p w14:paraId="554F81B7" w14:textId="77777777" w:rsidR="00AC3B87" w:rsidRPr="009607B9" w:rsidRDefault="00AC3B87" w:rsidP="009B565B">
      <w:pPr>
        <w:spacing w:after="0" w:line="240" w:lineRule="auto"/>
        <w:rPr>
          <w:rFonts w:eastAsiaTheme="majorEastAsia" w:cstheme="minorHAnsi"/>
          <w:bCs/>
        </w:rPr>
      </w:pPr>
    </w:p>
    <w:p w14:paraId="096B970F" w14:textId="30829484" w:rsidR="0080120C" w:rsidRPr="009607B9" w:rsidRDefault="00721B8A" w:rsidP="004A3971">
      <w:pPr>
        <w:spacing w:after="0" w:line="240" w:lineRule="auto"/>
        <w:rPr>
          <w:rFonts w:eastAsiaTheme="majorEastAsia" w:cstheme="minorHAnsi"/>
          <w:b/>
          <w:bCs/>
          <w:color w:val="0070C0"/>
        </w:rPr>
      </w:pPr>
      <w:r>
        <w:rPr>
          <w:rFonts w:eastAsiaTheme="majorEastAsia" w:cstheme="minorHAnsi"/>
          <w:b/>
          <w:bCs/>
          <w:color w:val="0070C0"/>
        </w:rPr>
        <w:t>Opening Remarks</w:t>
      </w:r>
    </w:p>
    <w:p w14:paraId="54FC9A1B" w14:textId="77777777" w:rsidR="009607B9" w:rsidRPr="00C321DA" w:rsidRDefault="009607B9" w:rsidP="009607B9">
      <w:pPr>
        <w:spacing w:after="0" w:line="240" w:lineRule="auto"/>
        <w:rPr>
          <w:rFonts w:eastAsiaTheme="majorEastAsia" w:cstheme="minorHAnsi"/>
          <w:b/>
          <w:bCs/>
          <w:color w:val="0070C0"/>
        </w:rPr>
      </w:pPr>
      <w:r w:rsidRPr="00C321DA">
        <w:rPr>
          <w:rFonts w:eastAsiaTheme="majorEastAsia" w:cstheme="minorHAnsi"/>
          <w:bCs/>
        </w:rPr>
        <w:t>Mary Beach, Trusted Third Party (TTP), opened up the morning session by thanking Partners for their engagement and contributions to the HFPP. Mary provided meeting logistics, reviewed the agenda, and reminded attendees to provide their feedback on the assessment forms to improve the reporting process.</w:t>
      </w:r>
    </w:p>
    <w:p w14:paraId="79B0E129" w14:textId="77777777" w:rsidR="009607B9" w:rsidRPr="00C321DA" w:rsidRDefault="009607B9" w:rsidP="009607B9">
      <w:pPr>
        <w:spacing w:after="0" w:line="240" w:lineRule="auto"/>
        <w:rPr>
          <w:rFonts w:eastAsiaTheme="majorEastAsia" w:cstheme="minorHAnsi"/>
          <w:bCs/>
        </w:rPr>
      </w:pPr>
    </w:p>
    <w:p w14:paraId="39B70F00" w14:textId="11BADC8E" w:rsidR="00472E68" w:rsidRPr="009607B9" w:rsidRDefault="009607B9" w:rsidP="009607B9">
      <w:pPr>
        <w:spacing w:after="0" w:line="240" w:lineRule="auto"/>
        <w:rPr>
          <w:rFonts w:eastAsiaTheme="majorEastAsia" w:cstheme="minorHAnsi"/>
          <w:bCs/>
        </w:rPr>
      </w:pPr>
      <w:r w:rsidRPr="00C321DA">
        <w:rPr>
          <w:rFonts w:eastAsiaTheme="majorEastAsia" w:cstheme="minorHAnsi"/>
          <w:bCs/>
        </w:rPr>
        <w:t xml:space="preserve">Shantanu Agrawal, CPI, CMS, welcomed Partners and discussed the overarching objectives of the HFPP Opioids Abuse White Paper that will further guide the broader effort undertaken by CMS and Health &amp; Human Services (HHS). The White Paper’s intent is to identify additional best practices that Partners can take to effectively identify, address, and minimize opioid prescription abuse and inappropriate </w:t>
      </w:r>
      <w:r w:rsidRPr="00C321DA">
        <w:rPr>
          <w:rFonts w:eastAsiaTheme="majorEastAsia" w:cstheme="minorHAnsi"/>
          <w:bCs/>
          <w:noProof/>
        </w:rPr>
        <w:t>payments</w:t>
      </w:r>
      <w:r w:rsidRPr="00C321DA">
        <w:rPr>
          <w:rFonts w:eastAsiaTheme="majorEastAsia" w:cstheme="minorHAnsi"/>
          <w:bCs/>
        </w:rPr>
        <w:t xml:space="preserve"> while ensuring access to medically necessary therapies. Shantanu Agrawal encouraged Partners to share their significant strategies and best </w:t>
      </w:r>
      <w:r w:rsidRPr="00C321DA">
        <w:rPr>
          <w:rFonts w:eastAsiaTheme="majorEastAsia" w:cstheme="minorHAnsi"/>
          <w:bCs/>
          <w:noProof/>
        </w:rPr>
        <w:t>practices,</w:t>
      </w:r>
      <w:r w:rsidRPr="00C321DA">
        <w:rPr>
          <w:rFonts w:eastAsiaTheme="majorEastAsia" w:cstheme="minorHAnsi"/>
          <w:bCs/>
        </w:rPr>
        <w:t xml:space="preserve"> so the White Paper accurately represents the concerted efforts of the Partnership.</w:t>
      </w:r>
    </w:p>
    <w:p w14:paraId="3EC84F5F" w14:textId="77777777" w:rsidR="009D4A3A" w:rsidRPr="009607B9" w:rsidRDefault="009D4A3A" w:rsidP="009D4A3A">
      <w:pPr>
        <w:spacing w:after="0" w:line="240" w:lineRule="auto"/>
        <w:rPr>
          <w:rFonts w:eastAsiaTheme="majorEastAsia" w:cstheme="minorHAnsi"/>
          <w:b/>
          <w:bCs/>
          <w:color w:val="0070C0"/>
        </w:rPr>
      </w:pPr>
    </w:p>
    <w:p w14:paraId="2D62B50C" w14:textId="5CFF10BD" w:rsidR="009D4A3A" w:rsidRDefault="009D4A3A" w:rsidP="009D4A3A">
      <w:pPr>
        <w:spacing w:after="0" w:line="240" w:lineRule="auto"/>
        <w:rPr>
          <w:rFonts w:eastAsiaTheme="majorEastAsia" w:cstheme="minorHAnsi"/>
          <w:b/>
          <w:bCs/>
          <w:color w:val="0070C0"/>
        </w:rPr>
      </w:pPr>
      <w:r w:rsidRPr="009607B9">
        <w:rPr>
          <w:rFonts w:eastAsiaTheme="majorEastAsia" w:cstheme="minorHAnsi"/>
          <w:b/>
          <w:bCs/>
          <w:color w:val="0070C0"/>
        </w:rPr>
        <w:t xml:space="preserve">Marketplace </w:t>
      </w:r>
      <w:r w:rsidR="00721B8A">
        <w:rPr>
          <w:rFonts w:eastAsiaTheme="majorEastAsia" w:cstheme="minorHAnsi"/>
          <w:b/>
          <w:bCs/>
          <w:color w:val="0070C0"/>
        </w:rPr>
        <w:t>Session</w:t>
      </w:r>
    </w:p>
    <w:p w14:paraId="0F092CE4" w14:textId="77777777" w:rsidR="00B7420C" w:rsidRPr="00B7420C" w:rsidRDefault="00B7420C" w:rsidP="00B7420C">
      <w:pPr>
        <w:spacing w:after="0"/>
        <w:ind w:right="150"/>
        <w:rPr>
          <w:rFonts w:ascii="Calibri" w:eastAsia="Times New Roman" w:hAnsi="Calibri" w:cs="Calibri"/>
          <w:bCs/>
        </w:rPr>
      </w:pPr>
      <w:r w:rsidRPr="00B7420C">
        <w:rPr>
          <w:rFonts w:ascii="Calibri" w:eastAsia="Times New Roman" w:hAnsi="Calibri" w:cs="Calibri"/>
          <w:bCs/>
        </w:rPr>
        <w:t xml:space="preserve">Morgan Burns, CPI, CMS, kicked off a collaborative information sharing session that enabled Partners to discuss their experiences, information, and questions around investigative activities and cases involving their organizations. She prepared Partners for their sessions by giving an overview of common fraud schemes including sober homes, drug screening labs, and substance abuse facilities. </w:t>
      </w:r>
    </w:p>
    <w:p w14:paraId="6E0BD714" w14:textId="77777777" w:rsidR="00B7420C" w:rsidRPr="00B7420C" w:rsidRDefault="00B7420C" w:rsidP="00B7420C">
      <w:pPr>
        <w:spacing w:after="0"/>
        <w:ind w:right="150"/>
        <w:rPr>
          <w:rFonts w:ascii="Calibri" w:eastAsia="Times New Roman" w:hAnsi="Calibri" w:cs="Calibri"/>
          <w:bCs/>
        </w:rPr>
      </w:pPr>
    </w:p>
    <w:p w14:paraId="4770D646" w14:textId="46CB5516" w:rsidR="00B7420C" w:rsidRPr="00B7420C" w:rsidRDefault="00B7420C" w:rsidP="00B7420C">
      <w:pPr>
        <w:spacing w:after="0"/>
        <w:ind w:right="150"/>
        <w:rPr>
          <w:rFonts w:ascii="Calibri" w:eastAsia="Times New Roman" w:hAnsi="Calibri" w:cs="Calibri"/>
          <w:bCs/>
        </w:rPr>
      </w:pPr>
      <w:r w:rsidRPr="00B7420C">
        <w:rPr>
          <w:rFonts w:ascii="Calibri" w:eastAsia="Times New Roman" w:hAnsi="Calibri" w:cs="Calibri"/>
          <w:bCs/>
        </w:rPr>
        <w:t>She led two breakout sessions that focused on non-provider schemes (recruiters/agents and sober homes) and provider schemes (labs, physicians, and substance abuse facilities). The sessions provided an interactive opportunity for Partners</w:t>
      </w:r>
      <w:r w:rsidRPr="00B7420C">
        <w:rPr>
          <w:rFonts w:eastAsiaTheme="majorEastAsia" w:cstheme="minorHAnsi"/>
          <w:bCs/>
        </w:rPr>
        <w:t xml:space="preserve"> to convene into working groups to discuss:</w:t>
      </w:r>
    </w:p>
    <w:p w14:paraId="4ED92767" w14:textId="77777777" w:rsidR="00B7420C" w:rsidRPr="00B7420C" w:rsidRDefault="00B7420C" w:rsidP="00374543">
      <w:pPr>
        <w:numPr>
          <w:ilvl w:val="0"/>
          <w:numId w:val="4"/>
        </w:numPr>
        <w:spacing w:after="0" w:line="240" w:lineRule="auto"/>
        <w:contextualSpacing/>
        <w:rPr>
          <w:rFonts w:eastAsia="Times New Roman" w:cs="Calibri"/>
          <w:bCs/>
        </w:rPr>
      </w:pPr>
      <w:r w:rsidRPr="00B7420C">
        <w:rPr>
          <w:rFonts w:eastAsia="Times New Roman" w:cs="Calibri"/>
          <w:bCs/>
        </w:rPr>
        <w:t>Substance abuse facilities that may be exposing their patients to physical or other harm, submitting claims, including lab claims for services not rendered and for medically unnecessary services.</w:t>
      </w:r>
    </w:p>
    <w:p w14:paraId="7BC96A70" w14:textId="77777777" w:rsidR="00B7420C" w:rsidRPr="00B7420C" w:rsidRDefault="00B7420C" w:rsidP="00374543">
      <w:pPr>
        <w:numPr>
          <w:ilvl w:val="0"/>
          <w:numId w:val="4"/>
        </w:numPr>
        <w:spacing w:after="0" w:line="240" w:lineRule="auto"/>
        <w:contextualSpacing/>
        <w:rPr>
          <w:rFonts w:eastAsia="Times New Roman" w:cs="Calibri"/>
          <w:bCs/>
        </w:rPr>
      </w:pPr>
      <w:r w:rsidRPr="00B7420C">
        <w:rPr>
          <w:rFonts w:eastAsia="Times New Roman" w:cs="Calibri"/>
          <w:bCs/>
        </w:rPr>
        <w:t xml:space="preserve">Physicians who appear to be referring Marketplace members to facilities, as well as other </w:t>
      </w:r>
      <w:r w:rsidRPr="00B7420C">
        <w:rPr>
          <w:rFonts w:eastAsia="Times New Roman" w:cs="Calibri"/>
          <w:bCs/>
        </w:rPr>
        <w:lastRenderedPageBreak/>
        <w:t>individuals who may be paid by substance abuse facilities to sign individuals up for coverage.</w:t>
      </w:r>
    </w:p>
    <w:p w14:paraId="79054A96" w14:textId="77777777" w:rsidR="00B7420C" w:rsidRPr="00B7420C" w:rsidRDefault="00B7420C" w:rsidP="00374543">
      <w:pPr>
        <w:keepLines/>
        <w:numPr>
          <w:ilvl w:val="0"/>
          <w:numId w:val="4"/>
        </w:numPr>
        <w:spacing w:after="0" w:line="240" w:lineRule="auto"/>
        <w:contextualSpacing/>
        <w:rPr>
          <w:rFonts w:eastAsia="Times New Roman" w:cs="Calibri"/>
          <w:bCs/>
        </w:rPr>
      </w:pPr>
      <w:r w:rsidRPr="00B7420C">
        <w:rPr>
          <w:rFonts w:eastAsia="Times New Roman" w:cs="Calibri"/>
          <w:bCs/>
        </w:rPr>
        <w:t xml:space="preserve">People who are paying premiums for multiple consumers to enroll in plans or </w:t>
      </w:r>
      <w:r w:rsidRPr="00B7420C">
        <w:rPr>
          <w:rFonts w:eastAsia="Times New Roman" w:cs="Calibri"/>
          <w:bCs/>
          <w:noProof/>
        </w:rPr>
        <w:t>are otherwise connected</w:t>
      </w:r>
      <w:r w:rsidRPr="00B7420C">
        <w:rPr>
          <w:rFonts w:eastAsia="Times New Roman" w:cs="Calibri"/>
          <w:bCs/>
        </w:rPr>
        <w:t xml:space="preserve"> to </w:t>
      </w:r>
      <w:r w:rsidRPr="00B7420C">
        <w:rPr>
          <w:rFonts w:eastAsia="Times New Roman" w:cs="Calibri"/>
          <w:bCs/>
          <w:noProof/>
        </w:rPr>
        <w:t>these substance</w:t>
      </w:r>
      <w:r w:rsidRPr="00B7420C">
        <w:rPr>
          <w:rFonts w:eastAsia="Times New Roman" w:cs="Calibri"/>
          <w:bCs/>
        </w:rPr>
        <w:t xml:space="preserve"> abuse facilities, </w:t>
      </w:r>
      <w:r w:rsidRPr="00B7420C">
        <w:rPr>
          <w:rFonts w:eastAsia="Times New Roman" w:cs="Calibri"/>
          <w:bCs/>
          <w:noProof/>
        </w:rPr>
        <w:t>physicians,</w:t>
      </w:r>
      <w:r w:rsidRPr="00B7420C">
        <w:rPr>
          <w:rFonts w:eastAsia="Times New Roman" w:cs="Calibri"/>
          <w:bCs/>
        </w:rPr>
        <w:t xml:space="preserve"> and labs.</w:t>
      </w:r>
    </w:p>
    <w:p w14:paraId="24C4670C" w14:textId="7B31090F" w:rsidR="006C4DDA" w:rsidRDefault="00B7420C" w:rsidP="00374543">
      <w:pPr>
        <w:numPr>
          <w:ilvl w:val="0"/>
          <w:numId w:val="4"/>
        </w:numPr>
        <w:spacing w:after="0" w:line="240" w:lineRule="auto"/>
        <w:contextualSpacing/>
        <w:rPr>
          <w:rFonts w:eastAsia="Times New Roman" w:cs="Calibri"/>
          <w:bCs/>
        </w:rPr>
      </w:pPr>
      <w:r w:rsidRPr="00B7420C">
        <w:rPr>
          <w:rFonts w:eastAsia="Times New Roman" w:cs="Calibri"/>
          <w:bCs/>
        </w:rPr>
        <w:t>Actions and best practices that plans have taken to mitigate and resolve the potential patient harm and inappropriate payments.</w:t>
      </w:r>
    </w:p>
    <w:p w14:paraId="233582B5" w14:textId="77777777" w:rsidR="00721B8A" w:rsidRPr="00721B8A" w:rsidRDefault="00721B8A" w:rsidP="00721B8A">
      <w:pPr>
        <w:spacing w:after="0" w:line="240" w:lineRule="auto"/>
        <w:ind w:left="360"/>
        <w:contextualSpacing/>
        <w:rPr>
          <w:rFonts w:eastAsia="Times New Roman" w:cs="Calibri"/>
          <w:bCs/>
        </w:rPr>
      </w:pPr>
    </w:p>
    <w:p w14:paraId="3EBA7454" w14:textId="120DA07F" w:rsidR="00C07CFA" w:rsidRPr="00B7420C" w:rsidRDefault="00B7420C" w:rsidP="009B565B">
      <w:pPr>
        <w:spacing w:after="120" w:line="240" w:lineRule="auto"/>
        <w:rPr>
          <w:rFonts w:ascii="Calibri" w:eastAsia="Times New Roman" w:hAnsi="Calibri" w:cs="Calibri"/>
          <w:bCs/>
        </w:rPr>
      </w:pPr>
      <w:r w:rsidRPr="00B7420C">
        <w:rPr>
          <w:rFonts w:ascii="Calibri" w:eastAsia="Calibri" w:hAnsi="Calibri" w:cs="Calibri"/>
        </w:rPr>
        <w:t>Additional discussions included enforcement of Prescription Drug Monitoring Program (PDMP) mandates, fraudulent enrollment credentials, breakthrough pain treatments without a cancer diagnosis, and a variety of clinic ownership arrangements likely to violate state laws.</w:t>
      </w:r>
      <w:r w:rsidRPr="00B7420C">
        <w:rPr>
          <w:rFonts w:ascii="Calibri" w:eastAsia="Times New Roman" w:hAnsi="Calibri" w:cs="Calibri"/>
          <w:bCs/>
        </w:rPr>
        <w:t xml:space="preserve"> HFPP Partners provided real life examples of pharmacy “bad actors,” pill mills, emerging lab schemes, drug waste/inve</w:t>
      </w:r>
      <w:r>
        <w:rPr>
          <w:rFonts w:ascii="Calibri" w:eastAsia="Times New Roman" w:hAnsi="Calibri" w:cs="Calibri"/>
          <w:bCs/>
        </w:rPr>
        <w:t>ntory, and third party billing.</w:t>
      </w:r>
    </w:p>
    <w:p w14:paraId="0A44BD5D" w14:textId="06AC1665" w:rsidR="000411B4" w:rsidRDefault="00AD22CC" w:rsidP="007947AC">
      <w:pPr>
        <w:spacing w:after="120" w:line="240" w:lineRule="auto"/>
        <w:rPr>
          <w:rFonts w:eastAsiaTheme="majorEastAsia" w:cstheme="minorHAnsi"/>
          <w:bCs/>
        </w:rPr>
      </w:pPr>
      <w:r w:rsidRPr="009607B9">
        <w:rPr>
          <w:rFonts w:eastAsiaTheme="majorEastAsia" w:cstheme="minorHAnsi"/>
          <w:bCs/>
        </w:rPr>
        <w:t>Despite the fact that neither the False Claims Act nor the Anti-Kickback Statute applies to Marketplace claims, Department of Justice</w:t>
      </w:r>
      <w:r w:rsidR="00BF2090">
        <w:rPr>
          <w:rFonts w:eastAsiaTheme="majorEastAsia" w:cstheme="minorHAnsi"/>
          <w:bCs/>
        </w:rPr>
        <w:t xml:space="preserve"> (DOJ) representatives, Ian DeW</w:t>
      </w:r>
      <w:bookmarkStart w:id="0" w:name="_GoBack"/>
      <w:bookmarkEnd w:id="0"/>
      <w:r w:rsidRPr="009607B9">
        <w:rPr>
          <w:rFonts w:eastAsiaTheme="majorEastAsia" w:cstheme="minorHAnsi"/>
          <w:bCs/>
        </w:rPr>
        <w:t xml:space="preserve">aal and Denise  Simpson, cited the following statutes under which Marketplace fraud may be prosecuted: </w:t>
      </w:r>
    </w:p>
    <w:p w14:paraId="522379B0" w14:textId="08B60DFE" w:rsidR="000411B4" w:rsidRPr="000F19D1" w:rsidRDefault="000411B4" w:rsidP="000411B4">
      <w:pPr>
        <w:spacing w:after="120" w:line="240" w:lineRule="auto"/>
        <w:rPr>
          <w:rFonts w:eastAsiaTheme="majorEastAsia" w:cstheme="minorHAnsi"/>
          <w:b/>
          <w:bCs/>
          <w:u w:val="single"/>
        </w:rPr>
      </w:pPr>
      <w:r w:rsidRPr="000F19D1">
        <w:rPr>
          <w:rFonts w:eastAsiaTheme="majorEastAsia" w:cstheme="minorHAnsi"/>
          <w:b/>
          <w:bCs/>
          <w:u w:val="single"/>
        </w:rPr>
        <w:t xml:space="preserve">18 U.S. Code </w:t>
      </w:r>
      <w:r w:rsidR="00603D9B" w:rsidRPr="000F19D1">
        <w:rPr>
          <w:rFonts w:eastAsiaTheme="majorEastAsia" w:cstheme="minorHAnsi"/>
          <w:b/>
          <w:bCs/>
          <w:u w:val="single"/>
        </w:rPr>
        <w:t>§</w:t>
      </w:r>
      <w:r w:rsidR="00505206" w:rsidRPr="000F19D1">
        <w:rPr>
          <w:rFonts w:eastAsiaTheme="majorEastAsia" w:cstheme="minorHAnsi"/>
          <w:b/>
          <w:bCs/>
          <w:u w:val="single"/>
        </w:rPr>
        <w:t xml:space="preserve"> </w:t>
      </w:r>
      <w:r w:rsidRPr="000F19D1">
        <w:rPr>
          <w:rFonts w:eastAsiaTheme="majorEastAsia" w:cstheme="minorHAnsi"/>
          <w:b/>
          <w:bCs/>
          <w:u w:val="single"/>
        </w:rPr>
        <w:t>1347- Health Care Fraud</w:t>
      </w:r>
      <w:r w:rsidR="00E05C84" w:rsidRPr="000F19D1">
        <w:rPr>
          <w:rFonts w:eastAsiaTheme="majorEastAsia" w:cstheme="minorHAnsi"/>
          <w:b/>
          <w:bCs/>
          <w:u w:val="single"/>
        </w:rPr>
        <w:t>:</w:t>
      </w:r>
    </w:p>
    <w:p w14:paraId="579D0CEC" w14:textId="77777777" w:rsidR="00501631" w:rsidRPr="000F19D1" w:rsidRDefault="000411B4" w:rsidP="00374543">
      <w:pPr>
        <w:pStyle w:val="ListParagraph"/>
        <w:numPr>
          <w:ilvl w:val="0"/>
          <w:numId w:val="8"/>
        </w:numPr>
        <w:spacing w:after="120" w:line="240" w:lineRule="auto"/>
        <w:rPr>
          <w:rFonts w:eastAsiaTheme="majorEastAsia" w:cstheme="minorHAnsi"/>
          <w:bCs/>
        </w:rPr>
      </w:pPr>
      <w:r w:rsidRPr="000F19D1">
        <w:rPr>
          <w:rFonts w:eastAsiaTheme="majorEastAsia" w:cstheme="minorHAnsi"/>
          <w:bCs/>
        </w:rPr>
        <w:t>Whoever knowingly and willfully executes, or attempts to execute, a scheme or artifice—(1) to defraud any health care benefit program; or (2) to obtain, by means of false or fraudulent pretenses, representations, or promises, any of the money or property owned by, or under the custody or control of, any health care benefit program, in connection with the delivery of or payment for health care benefits, items, or services, shall be fined under this title or imprisoned not more than 10 years, or both. If the violation results in serious bodily injury (as defined in section 1365 of this title), such person shall be fined under this title or imprisoned not more than 20 years, or both; and if the violation results in death, such person shall be fined under this title, or imprisoned for any term of years or for life, or both.</w:t>
      </w:r>
    </w:p>
    <w:p w14:paraId="4325D666" w14:textId="3F059C91" w:rsidR="000411B4" w:rsidRPr="000F19D1" w:rsidRDefault="000411B4" w:rsidP="00374543">
      <w:pPr>
        <w:pStyle w:val="ListParagraph"/>
        <w:numPr>
          <w:ilvl w:val="0"/>
          <w:numId w:val="8"/>
        </w:numPr>
        <w:spacing w:after="120" w:line="240" w:lineRule="auto"/>
        <w:rPr>
          <w:rFonts w:eastAsiaTheme="majorEastAsia" w:cstheme="minorHAnsi"/>
          <w:bCs/>
        </w:rPr>
      </w:pPr>
      <w:r w:rsidRPr="000F19D1">
        <w:rPr>
          <w:rFonts w:eastAsiaTheme="majorEastAsia" w:cstheme="minorHAnsi"/>
          <w:bCs/>
        </w:rPr>
        <w:t>With respect to violations of this section, a person need not have actual knowledge of this section or specific intent to commit a violation of this section.</w:t>
      </w:r>
    </w:p>
    <w:p w14:paraId="3086B428" w14:textId="4B4376FB" w:rsidR="000411B4" w:rsidRPr="000F19D1" w:rsidRDefault="000411B4" w:rsidP="000411B4">
      <w:pPr>
        <w:spacing w:after="120" w:line="240" w:lineRule="auto"/>
        <w:rPr>
          <w:rFonts w:eastAsiaTheme="majorEastAsia" w:cstheme="minorHAnsi"/>
          <w:b/>
          <w:bCs/>
          <w:u w:val="single"/>
        </w:rPr>
      </w:pPr>
      <w:r w:rsidRPr="000F19D1">
        <w:rPr>
          <w:rFonts w:eastAsiaTheme="majorEastAsia" w:cstheme="minorHAnsi"/>
          <w:b/>
          <w:bCs/>
          <w:u w:val="single"/>
        </w:rPr>
        <w:t xml:space="preserve">18 U.S. Code </w:t>
      </w:r>
      <w:r w:rsidR="00603D9B" w:rsidRPr="000F19D1">
        <w:rPr>
          <w:rFonts w:eastAsiaTheme="majorEastAsia" w:cstheme="minorHAnsi"/>
          <w:b/>
          <w:bCs/>
          <w:u w:val="single"/>
        </w:rPr>
        <w:t>§</w:t>
      </w:r>
      <w:r w:rsidR="00505206" w:rsidRPr="000F19D1">
        <w:rPr>
          <w:rFonts w:eastAsiaTheme="majorEastAsia" w:cstheme="minorHAnsi"/>
          <w:b/>
          <w:bCs/>
          <w:u w:val="single"/>
        </w:rPr>
        <w:t xml:space="preserve"> </w:t>
      </w:r>
      <w:r w:rsidR="00603D9B" w:rsidRPr="000F19D1">
        <w:rPr>
          <w:rFonts w:eastAsiaTheme="majorEastAsia" w:cstheme="minorHAnsi"/>
          <w:b/>
          <w:bCs/>
          <w:u w:val="single"/>
        </w:rPr>
        <w:t>24</w:t>
      </w:r>
      <w:r w:rsidR="00603D9B" w:rsidRPr="000F19D1">
        <w:rPr>
          <w:rFonts w:eastAsia="Calibri" w:cstheme="minorHAnsi"/>
          <w:b/>
          <w:bCs/>
          <w:color w:val="000000"/>
          <w:u w:val="single"/>
          <w:lang w:val="en"/>
        </w:rPr>
        <w:t xml:space="preserve"> - </w:t>
      </w:r>
      <w:r w:rsidRPr="000F19D1">
        <w:rPr>
          <w:rFonts w:eastAsiaTheme="majorEastAsia" w:cstheme="minorHAnsi"/>
          <w:b/>
          <w:bCs/>
          <w:u w:val="single"/>
        </w:rPr>
        <w:t>Definitions:</w:t>
      </w:r>
    </w:p>
    <w:p w14:paraId="59D09B16" w14:textId="77777777" w:rsidR="008C6B08" w:rsidRPr="000F19D1" w:rsidRDefault="000411B4" w:rsidP="00374543">
      <w:pPr>
        <w:pStyle w:val="ListParagraph"/>
        <w:numPr>
          <w:ilvl w:val="0"/>
          <w:numId w:val="5"/>
        </w:numPr>
        <w:spacing w:after="120" w:line="240" w:lineRule="auto"/>
        <w:rPr>
          <w:rFonts w:eastAsiaTheme="majorEastAsia" w:cstheme="minorHAnsi"/>
          <w:bCs/>
        </w:rPr>
      </w:pPr>
      <w:r w:rsidRPr="000F19D1">
        <w:rPr>
          <w:rFonts w:eastAsiaTheme="majorEastAsia" w:cstheme="minorHAnsi"/>
          <w:bCs/>
        </w:rPr>
        <w:t xml:space="preserve">As used in this title, the term “Federal health care offense” means a violation of, or a criminal conspiracy to violate — (1)  section 669, 1035, 1347, or 1518 of this title or section 1128B of the Social Security Act (42 U.S.C. 1320a–7b); or (2)  section 287, 371, 664, 666, 1001, 1027, 1341, 1343, 1349, or 1954 of this title section 301 of the Federal Food, Drug, and Cosmetic Act (21 U.S.C. 331), or section 501 of the Employee Retirement Income Security Act of 1974 (29 U.S.C. 1131), or section 411, 518, or 511 of the Employee Retirement Income Security Act of 1974, [1] if the violation or conspiracy relates to a health care benefit program. </w:t>
      </w:r>
    </w:p>
    <w:p w14:paraId="4C73EAA3" w14:textId="32DA914E" w:rsidR="000411B4" w:rsidRPr="000F19D1" w:rsidRDefault="000411B4" w:rsidP="00374543">
      <w:pPr>
        <w:pStyle w:val="ListParagraph"/>
        <w:numPr>
          <w:ilvl w:val="0"/>
          <w:numId w:val="5"/>
        </w:numPr>
        <w:spacing w:after="120" w:line="240" w:lineRule="auto"/>
        <w:rPr>
          <w:rFonts w:eastAsiaTheme="majorEastAsia" w:cstheme="minorHAnsi"/>
          <w:bCs/>
        </w:rPr>
      </w:pPr>
      <w:r w:rsidRPr="000F19D1">
        <w:rPr>
          <w:rFonts w:eastAsiaTheme="majorEastAsia" w:cstheme="minorHAnsi"/>
          <w:bCs/>
        </w:rPr>
        <w:t>As used in this title, the term “health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w:t>
      </w:r>
    </w:p>
    <w:p w14:paraId="5B6A4729" w14:textId="77777777" w:rsidR="000F19D1" w:rsidRDefault="00AB4CA2" w:rsidP="000F19D1">
      <w:pPr>
        <w:widowControl/>
        <w:spacing w:after="0" w:line="240" w:lineRule="auto"/>
        <w:rPr>
          <w:rFonts w:eastAsia="Calibri" w:cstheme="minorHAnsi"/>
          <w:b/>
          <w:bCs/>
          <w:color w:val="000000"/>
          <w:u w:val="single"/>
          <w:lang w:val="en"/>
        </w:rPr>
      </w:pPr>
      <w:r w:rsidRPr="000F19D1">
        <w:rPr>
          <w:rFonts w:eastAsia="Calibri" w:cstheme="minorHAnsi"/>
          <w:b/>
          <w:bCs/>
          <w:color w:val="000000"/>
          <w:u w:val="single"/>
          <w:lang w:val="en"/>
        </w:rPr>
        <w:t>18 U.S. Code §</w:t>
      </w:r>
      <w:r w:rsidR="00505206" w:rsidRPr="000F19D1">
        <w:rPr>
          <w:rFonts w:eastAsia="Calibri" w:cstheme="minorHAnsi"/>
          <w:b/>
          <w:bCs/>
          <w:color w:val="000000"/>
          <w:u w:val="single"/>
          <w:lang w:val="en"/>
        </w:rPr>
        <w:t xml:space="preserve"> </w:t>
      </w:r>
      <w:r w:rsidR="00671FAB" w:rsidRPr="000F19D1">
        <w:rPr>
          <w:rFonts w:eastAsia="Calibri" w:cstheme="minorHAnsi"/>
          <w:b/>
          <w:bCs/>
          <w:color w:val="000000"/>
          <w:u w:val="single"/>
          <w:lang w:val="en"/>
        </w:rPr>
        <w:t>669 - Theft or embezzlement in connection with health care:</w:t>
      </w:r>
      <w:bookmarkStart w:id="1" w:name="a"/>
      <w:bookmarkEnd w:id="1"/>
    </w:p>
    <w:p w14:paraId="5F5ED91B" w14:textId="77777777" w:rsidR="00EB668B" w:rsidRDefault="00EB668B" w:rsidP="00EB668B">
      <w:pPr>
        <w:widowControl/>
        <w:spacing w:after="0" w:line="120" w:lineRule="auto"/>
        <w:rPr>
          <w:rFonts w:eastAsia="Calibri" w:cstheme="minorHAnsi"/>
          <w:b/>
          <w:bCs/>
          <w:color w:val="000000"/>
          <w:u w:val="single"/>
          <w:lang w:val="en"/>
        </w:rPr>
      </w:pPr>
    </w:p>
    <w:p w14:paraId="4698352E" w14:textId="1738CFBB" w:rsidR="008C6B08" w:rsidRPr="000F19D1" w:rsidRDefault="00671FAB" w:rsidP="00374543">
      <w:pPr>
        <w:pStyle w:val="ListParagraph"/>
        <w:widowControl/>
        <w:numPr>
          <w:ilvl w:val="0"/>
          <w:numId w:val="10"/>
        </w:numPr>
        <w:spacing w:after="0" w:line="240" w:lineRule="auto"/>
        <w:rPr>
          <w:rFonts w:eastAsia="Calibri" w:cstheme="minorHAnsi"/>
          <w:b/>
          <w:bCs/>
          <w:color w:val="000000"/>
          <w:u w:val="single"/>
          <w:lang w:val="en"/>
        </w:rPr>
      </w:pPr>
      <w:r w:rsidRPr="000F19D1">
        <w:rPr>
          <w:rFonts w:eastAsiaTheme="majorEastAsia" w:cstheme="minorHAnsi"/>
          <w:bCs/>
        </w:rPr>
        <w:t xml:space="preserve">Whoever knowingly and willfully embezzles, steals, or otherwise without authority converts to the use of any person other than the rightful owner, or intentionally misapplies any of the moneys, funds, securities, premiums, credits, property, or other assets of a health care benefit program, shall </w:t>
      </w:r>
      <w:r w:rsidRPr="000F19D1">
        <w:rPr>
          <w:rFonts w:eastAsiaTheme="majorEastAsia" w:cstheme="minorHAnsi"/>
          <w:bCs/>
        </w:rPr>
        <w:lastRenderedPageBreak/>
        <w:t>be fined under this title or imprisoned not more than 10 years, or both; but if the value of such property does not exceed the sum of $100 the defendant shall be fined under this title or imprisoned not more than one year, or both.</w:t>
      </w:r>
      <w:bookmarkStart w:id="2" w:name="b"/>
      <w:bookmarkEnd w:id="2"/>
    </w:p>
    <w:p w14:paraId="7B80ED7C" w14:textId="583CFA74" w:rsidR="00671FAB" w:rsidRPr="000F19D1" w:rsidRDefault="00671FAB" w:rsidP="00374543">
      <w:pPr>
        <w:pStyle w:val="ListParagraph"/>
        <w:widowControl/>
        <w:numPr>
          <w:ilvl w:val="0"/>
          <w:numId w:val="6"/>
        </w:numPr>
        <w:spacing w:after="0" w:line="240" w:lineRule="auto"/>
        <w:rPr>
          <w:rFonts w:eastAsiaTheme="majorEastAsia" w:cstheme="minorHAnsi"/>
          <w:bCs/>
        </w:rPr>
      </w:pPr>
      <w:r w:rsidRPr="000F19D1">
        <w:rPr>
          <w:rFonts w:eastAsiaTheme="majorEastAsia" w:cstheme="minorHAnsi"/>
          <w:bCs/>
        </w:rPr>
        <w:t>As used in this section, the term “health care benefit program” has the meaning given such term in</w:t>
      </w:r>
      <w:r w:rsidRPr="000F19D1">
        <w:rPr>
          <w:rFonts w:eastAsia="Calibri" w:cstheme="minorHAnsi"/>
          <w:lang w:val="en"/>
        </w:rPr>
        <w:t xml:space="preserve"> </w:t>
      </w:r>
      <w:hyperlink r:id="rId12" w:tooltip="section 24(b) of this title" w:history="1">
        <w:r w:rsidRPr="000F19D1">
          <w:rPr>
            <w:rFonts w:eastAsia="Calibri" w:cstheme="minorHAnsi"/>
            <w:color w:val="0563C1"/>
            <w:u w:val="single"/>
            <w:lang w:val="en"/>
          </w:rPr>
          <w:t>section 24(b) of this title</w:t>
        </w:r>
      </w:hyperlink>
      <w:r w:rsidRPr="000F19D1">
        <w:rPr>
          <w:rFonts w:eastAsia="Calibri" w:cstheme="minorHAnsi"/>
          <w:lang w:val="en"/>
        </w:rPr>
        <w:t>.</w:t>
      </w:r>
    </w:p>
    <w:p w14:paraId="1C23B4D8" w14:textId="77777777" w:rsidR="00671FAB" w:rsidRPr="00671FAB" w:rsidRDefault="00671FAB" w:rsidP="00671FAB">
      <w:pPr>
        <w:widowControl/>
        <w:spacing w:after="0" w:line="240" w:lineRule="auto"/>
        <w:ind w:left="780"/>
        <w:rPr>
          <w:rFonts w:eastAsia="Calibri" w:cstheme="minorHAnsi"/>
          <w:color w:val="993366"/>
          <w:lang w:val="en"/>
        </w:rPr>
      </w:pPr>
    </w:p>
    <w:p w14:paraId="6F74E35F" w14:textId="5716B70B" w:rsidR="00671FAB" w:rsidRPr="00671FAB" w:rsidRDefault="00671FAB" w:rsidP="000F19D1">
      <w:pPr>
        <w:widowControl/>
        <w:spacing w:after="0" w:line="240" w:lineRule="auto"/>
        <w:rPr>
          <w:rFonts w:eastAsia="Calibri" w:cstheme="minorHAnsi"/>
          <w:color w:val="993366"/>
          <w:lang w:val="en"/>
        </w:rPr>
      </w:pPr>
      <w:r w:rsidRPr="00671FAB">
        <w:rPr>
          <w:rFonts w:eastAsia="Calibri" w:cstheme="minorHAnsi"/>
          <w:lang w:val="en"/>
        </w:rPr>
        <w:t xml:space="preserve">(Added </w:t>
      </w:r>
      <w:hyperlink r:id="rId13" w:tooltip="Pub. L. 104–191, title II" w:history="1">
        <w:r w:rsidRPr="000F19D1">
          <w:rPr>
            <w:rFonts w:eastAsia="Calibri" w:cstheme="minorHAnsi"/>
            <w:color w:val="0563C1"/>
            <w:u w:val="single"/>
            <w:lang w:val="en"/>
          </w:rPr>
          <w:t>Pub. L. 104–191, title II</w:t>
        </w:r>
      </w:hyperlink>
      <w:r w:rsidRPr="00671FAB">
        <w:rPr>
          <w:rFonts w:eastAsia="Calibri" w:cstheme="minorHAnsi"/>
          <w:lang w:val="en"/>
        </w:rPr>
        <w:t xml:space="preserve">, § 243(a), Aug. 21, 1996, </w:t>
      </w:r>
      <w:hyperlink r:id="rId14" w:tooltip="110 Stat. 2017" w:history="1">
        <w:r w:rsidRPr="000F19D1">
          <w:rPr>
            <w:rFonts w:eastAsia="Calibri" w:cstheme="minorHAnsi"/>
            <w:color w:val="0563C1"/>
            <w:u w:val="single"/>
            <w:lang w:val="en"/>
          </w:rPr>
          <w:t>110 Stat. 2017</w:t>
        </w:r>
      </w:hyperlink>
      <w:r w:rsidRPr="00671FAB">
        <w:rPr>
          <w:rFonts w:eastAsia="Calibri" w:cstheme="minorHAnsi"/>
          <w:lang w:val="en"/>
        </w:rPr>
        <w:t>.)</w:t>
      </w:r>
    </w:p>
    <w:p w14:paraId="72439E95" w14:textId="77777777" w:rsidR="00671FAB" w:rsidRPr="00671FAB" w:rsidRDefault="00671FAB" w:rsidP="00671FAB">
      <w:pPr>
        <w:widowControl/>
        <w:spacing w:after="0" w:line="240" w:lineRule="auto"/>
        <w:rPr>
          <w:rFonts w:eastAsia="Calibri" w:cstheme="minorHAnsi"/>
          <w:color w:val="993366"/>
        </w:rPr>
      </w:pPr>
    </w:p>
    <w:p w14:paraId="2727A9B3" w14:textId="68FD660A" w:rsidR="00671FAB" w:rsidRPr="000F19D1" w:rsidRDefault="00AB4CA2" w:rsidP="00F913E0">
      <w:pPr>
        <w:widowControl/>
        <w:spacing w:after="0" w:line="240" w:lineRule="auto"/>
        <w:rPr>
          <w:rFonts w:eastAsia="Calibri" w:cstheme="minorHAnsi"/>
          <w:b/>
          <w:bCs/>
          <w:color w:val="000000"/>
          <w:u w:val="single"/>
          <w:lang w:val="en"/>
        </w:rPr>
      </w:pPr>
      <w:r w:rsidRPr="000F19D1">
        <w:rPr>
          <w:rFonts w:eastAsia="Calibri" w:cstheme="minorHAnsi"/>
          <w:b/>
          <w:bCs/>
          <w:color w:val="000000"/>
          <w:u w:val="single"/>
          <w:lang w:val="en"/>
        </w:rPr>
        <w:t>18 U.S. Code §</w:t>
      </w:r>
      <w:r w:rsidR="00505206" w:rsidRPr="000F19D1">
        <w:rPr>
          <w:rFonts w:eastAsia="Calibri" w:cstheme="minorHAnsi"/>
          <w:b/>
          <w:bCs/>
          <w:color w:val="000000"/>
          <w:u w:val="single"/>
          <w:lang w:val="en"/>
        </w:rPr>
        <w:t xml:space="preserve"> </w:t>
      </w:r>
      <w:r w:rsidR="00671FAB" w:rsidRPr="000F19D1">
        <w:rPr>
          <w:rFonts w:eastAsia="Calibri" w:cstheme="minorHAnsi"/>
          <w:b/>
          <w:bCs/>
          <w:color w:val="000000"/>
          <w:u w:val="single"/>
          <w:lang w:val="en"/>
        </w:rPr>
        <w:t>1035 - False statements relating to health care matters:</w:t>
      </w:r>
    </w:p>
    <w:p w14:paraId="37A5FD56" w14:textId="77777777" w:rsidR="00671FAB" w:rsidRPr="00671FAB" w:rsidRDefault="00671FAB" w:rsidP="00AD7F69">
      <w:pPr>
        <w:widowControl/>
        <w:spacing w:after="0" w:line="120" w:lineRule="auto"/>
        <w:rPr>
          <w:rFonts w:eastAsia="Calibri" w:cstheme="minorHAnsi"/>
          <w:b/>
          <w:bCs/>
          <w:color w:val="000000"/>
          <w:u w:val="single"/>
          <w:lang w:val="en"/>
        </w:rPr>
      </w:pPr>
    </w:p>
    <w:p w14:paraId="75F4A6C1" w14:textId="48288283" w:rsidR="00671FAB" w:rsidRPr="000F19D1" w:rsidRDefault="00671FAB" w:rsidP="00374543">
      <w:pPr>
        <w:pStyle w:val="ListParagraph"/>
        <w:widowControl/>
        <w:numPr>
          <w:ilvl w:val="0"/>
          <w:numId w:val="7"/>
        </w:numPr>
        <w:spacing w:after="0" w:line="240" w:lineRule="auto"/>
        <w:ind w:left="360"/>
        <w:rPr>
          <w:rFonts w:eastAsiaTheme="majorEastAsia" w:cstheme="minorHAnsi"/>
          <w:bCs/>
        </w:rPr>
      </w:pPr>
      <w:r w:rsidRPr="000F19D1">
        <w:rPr>
          <w:rFonts w:eastAsiaTheme="majorEastAsia" w:cstheme="minorHAnsi"/>
          <w:bCs/>
        </w:rPr>
        <w:t xml:space="preserve">Whoever, in any matter involving a health care benefit program, knowingly and willfully— </w:t>
      </w:r>
    </w:p>
    <w:p w14:paraId="45AE2423" w14:textId="77777777" w:rsidR="00671FAB" w:rsidRPr="00671FAB" w:rsidRDefault="00671FAB" w:rsidP="00E94D5C">
      <w:pPr>
        <w:widowControl/>
        <w:spacing w:after="0" w:line="240" w:lineRule="auto"/>
        <w:ind w:left="360"/>
        <w:rPr>
          <w:rFonts w:eastAsiaTheme="majorEastAsia" w:cstheme="minorHAnsi"/>
          <w:bCs/>
        </w:rPr>
      </w:pPr>
      <w:r w:rsidRPr="00671FAB">
        <w:rPr>
          <w:rFonts w:eastAsiaTheme="majorEastAsia" w:cstheme="minorHAnsi"/>
          <w:bCs/>
        </w:rPr>
        <w:t>(1)  </w:t>
      </w:r>
      <w:bookmarkStart w:id="3" w:name="a_1"/>
      <w:bookmarkEnd w:id="3"/>
      <w:r w:rsidRPr="00671FAB">
        <w:rPr>
          <w:rFonts w:eastAsiaTheme="majorEastAsia" w:cstheme="minorHAnsi"/>
          <w:bCs/>
        </w:rPr>
        <w:t>falsifies, conceals, or covers up by any trick, scheme, or device a material fact; or</w:t>
      </w:r>
    </w:p>
    <w:p w14:paraId="44AEBA88" w14:textId="77777777" w:rsidR="008C6B08" w:rsidRPr="000F19D1" w:rsidRDefault="00671FAB" w:rsidP="00E94D5C">
      <w:pPr>
        <w:widowControl/>
        <w:spacing w:after="0" w:line="240" w:lineRule="auto"/>
        <w:ind w:left="360"/>
        <w:rPr>
          <w:rFonts w:eastAsiaTheme="majorEastAsia" w:cstheme="minorHAnsi"/>
          <w:bCs/>
        </w:rPr>
      </w:pPr>
      <w:bookmarkStart w:id="4" w:name="a_2"/>
      <w:bookmarkEnd w:id="4"/>
      <w:r w:rsidRPr="00671FAB">
        <w:rPr>
          <w:rFonts w:eastAsiaTheme="majorEastAsia" w:cstheme="minorHAnsi"/>
          <w:bCs/>
        </w:rPr>
        <w:t>(2)  makes any materially false, fictitious, or fraudulent statements or representations, or makes or uses any materially false writing or document knowing the same to contain any materially false, fictitious, or fraudulent statement or entry, in connection with the delivery of or payment for health care benefits, items, or services, shall be fined under this title or imprisoned not more than 5 years, or both.</w:t>
      </w:r>
    </w:p>
    <w:p w14:paraId="4AF0550E" w14:textId="7E36D9E8" w:rsidR="00671FAB" w:rsidRPr="000F19D1" w:rsidRDefault="00671FAB" w:rsidP="00374543">
      <w:pPr>
        <w:pStyle w:val="ListParagraph"/>
        <w:widowControl/>
        <w:numPr>
          <w:ilvl w:val="0"/>
          <w:numId w:val="7"/>
        </w:numPr>
        <w:spacing w:after="0" w:line="240" w:lineRule="auto"/>
        <w:ind w:left="360"/>
        <w:rPr>
          <w:rFonts w:eastAsiaTheme="majorEastAsia" w:cstheme="minorHAnsi"/>
          <w:bCs/>
        </w:rPr>
      </w:pPr>
      <w:r w:rsidRPr="000F19D1">
        <w:rPr>
          <w:rFonts w:eastAsiaTheme="majorEastAsia" w:cstheme="minorHAnsi"/>
          <w:bCs/>
        </w:rPr>
        <w:t>As used in this section, the term “health care benefit program” has the meaning given such term in</w:t>
      </w:r>
      <w:r w:rsidRPr="000F19D1">
        <w:rPr>
          <w:rFonts w:eastAsia="Calibri" w:cstheme="minorHAnsi"/>
          <w:lang w:val="en"/>
        </w:rPr>
        <w:t xml:space="preserve"> </w:t>
      </w:r>
      <w:hyperlink r:id="rId15" w:tooltip="section 24(b) of this title" w:history="1">
        <w:r w:rsidRPr="000F19D1">
          <w:rPr>
            <w:rFonts w:eastAsia="Calibri" w:cstheme="minorHAnsi"/>
            <w:color w:val="0563C1"/>
            <w:u w:val="single"/>
            <w:lang w:val="en"/>
          </w:rPr>
          <w:t>section 24(b) of this title</w:t>
        </w:r>
      </w:hyperlink>
      <w:r w:rsidRPr="000F19D1">
        <w:rPr>
          <w:rFonts w:eastAsia="Calibri" w:cstheme="minorHAnsi"/>
          <w:color w:val="993366"/>
          <w:lang w:val="en"/>
        </w:rPr>
        <w:t>.</w:t>
      </w:r>
    </w:p>
    <w:p w14:paraId="00FBCCD0" w14:textId="77777777" w:rsidR="00671FAB" w:rsidRPr="00671FAB" w:rsidRDefault="00671FAB" w:rsidP="00671FAB">
      <w:pPr>
        <w:widowControl/>
        <w:spacing w:after="0" w:line="240" w:lineRule="auto"/>
        <w:ind w:left="780"/>
        <w:rPr>
          <w:rFonts w:eastAsia="Calibri" w:cstheme="minorHAnsi"/>
          <w:color w:val="993366"/>
          <w:lang w:val="en"/>
        </w:rPr>
      </w:pPr>
    </w:p>
    <w:p w14:paraId="56ECE90E" w14:textId="77777777" w:rsidR="00671FAB" w:rsidRPr="00671FAB" w:rsidRDefault="00671FAB" w:rsidP="000F19D1">
      <w:pPr>
        <w:widowControl/>
        <w:spacing w:after="0" w:line="240" w:lineRule="auto"/>
        <w:rPr>
          <w:rFonts w:eastAsia="Calibri" w:cstheme="minorHAnsi"/>
          <w:color w:val="993366"/>
          <w:lang w:val="en"/>
        </w:rPr>
      </w:pPr>
      <w:r w:rsidRPr="00671FAB">
        <w:rPr>
          <w:rFonts w:eastAsia="Calibri" w:cstheme="minorHAnsi"/>
          <w:lang w:val="en"/>
        </w:rPr>
        <w:t xml:space="preserve">(Added </w:t>
      </w:r>
      <w:hyperlink r:id="rId16" w:tooltip="Pub. L. 104–191, title II" w:history="1">
        <w:r w:rsidRPr="000F19D1">
          <w:rPr>
            <w:rFonts w:eastAsia="Calibri" w:cstheme="minorHAnsi"/>
            <w:color w:val="0563C1"/>
            <w:u w:val="single"/>
            <w:lang w:val="en"/>
          </w:rPr>
          <w:t>Pub. L. 104–191, title II</w:t>
        </w:r>
      </w:hyperlink>
      <w:r w:rsidRPr="00671FAB">
        <w:rPr>
          <w:rFonts w:eastAsia="Calibri" w:cstheme="minorHAnsi"/>
          <w:lang w:val="en"/>
        </w:rPr>
        <w:t xml:space="preserve">, § 244(a), Aug. 21, 1996, </w:t>
      </w:r>
      <w:hyperlink r:id="rId17" w:tooltip="110 Stat. 2017" w:history="1">
        <w:r w:rsidRPr="000F19D1">
          <w:rPr>
            <w:rFonts w:eastAsia="Calibri" w:cstheme="minorHAnsi"/>
            <w:color w:val="0563C1"/>
            <w:u w:val="single"/>
            <w:lang w:val="en"/>
          </w:rPr>
          <w:t>110 Stat. 2017</w:t>
        </w:r>
      </w:hyperlink>
      <w:r w:rsidRPr="00671FAB">
        <w:rPr>
          <w:rFonts w:eastAsia="Calibri" w:cstheme="minorHAnsi"/>
          <w:lang w:val="en"/>
        </w:rPr>
        <w:t>.)</w:t>
      </w:r>
    </w:p>
    <w:p w14:paraId="27AECF6F" w14:textId="77777777" w:rsidR="00671FAB" w:rsidRPr="000F19D1" w:rsidRDefault="00671FAB" w:rsidP="00671FAB">
      <w:pPr>
        <w:widowControl/>
        <w:spacing w:after="0" w:line="240" w:lineRule="auto"/>
        <w:rPr>
          <w:rFonts w:eastAsia="Calibri" w:cstheme="minorHAnsi"/>
          <w:color w:val="993366"/>
        </w:rPr>
      </w:pPr>
    </w:p>
    <w:p w14:paraId="321DA1D0" w14:textId="5C408BBC" w:rsidR="00F913E0" w:rsidRPr="000F19D1" w:rsidRDefault="00AB4CA2" w:rsidP="00F913E0">
      <w:pPr>
        <w:widowControl/>
        <w:spacing w:after="0" w:line="240" w:lineRule="auto"/>
        <w:rPr>
          <w:rFonts w:eastAsia="Calibri" w:cstheme="minorHAnsi"/>
          <w:b/>
          <w:bCs/>
          <w:u w:val="single"/>
        </w:rPr>
      </w:pPr>
      <w:r w:rsidRPr="000F19D1">
        <w:rPr>
          <w:rFonts w:eastAsia="Calibri" w:cstheme="minorHAnsi"/>
          <w:b/>
          <w:bCs/>
          <w:u w:val="single"/>
          <w:lang w:val="en"/>
        </w:rPr>
        <w:t>18 U.S. Code §</w:t>
      </w:r>
      <w:r w:rsidR="00505206" w:rsidRPr="000F19D1">
        <w:rPr>
          <w:rFonts w:eastAsia="Calibri" w:cstheme="minorHAnsi"/>
          <w:b/>
          <w:bCs/>
          <w:u w:val="single"/>
          <w:lang w:val="en"/>
        </w:rPr>
        <w:t xml:space="preserve"> </w:t>
      </w:r>
      <w:r w:rsidR="00F913E0" w:rsidRPr="000F19D1">
        <w:rPr>
          <w:rFonts w:eastAsia="Calibri" w:cstheme="minorHAnsi"/>
          <w:b/>
          <w:bCs/>
          <w:u w:val="single"/>
          <w:lang w:val="en"/>
        </w:rPr>
        <w:t>1518 - Obstruction of criminal investigations of health care offenses:</w:t>
      </w:r>
    </w:p>
    <w:p w14:paraId="35D563FB" w14:textId="77777777" w:rsidR="00F913E0" w:rsidRPr="000F19D1" w:rsidRDefault="00F913E0" w:rsidP="00F913E0">
      <w:pPr>
        <w:widowControl/>
        <w:spacing w:after="0" w:line="240" w:lineRule="auto"/>
        <w:rPr>
          <w:rFonts w:eastAsia="Calibri" w:cstheme="minorHAnsi"/>
        </w:rPr>
      </w:pPr>
    </w:p>
    <w:p w14:paraId="3A76BFC9" w14:textId="77777777" w:rsidR="00E94D5C" w:rsidRPr="000F19D1" w:rsidRDefault="00F913E0" w:rsidP="00374543">
      <w:pPr>
        <w:pStyle w:val="ListParagraph"/>
        <w:widowControl/>
        <w:numPr>
          <w:ilvl w:val="0"/>
          <w:numId w:val="9"/>
        </w:numPr>
        <w:spacing w:after="0" w:line="240" w:lineRule="auto"/>
        <w:rPr>
          <w:rFonts w:eastAsia="Calibri" w:cstheme="minorHAnsi"/>
          <w:lang w:val="en"/>
        </w:rPr>
      </w:pPr>
      <w:r w:rsidRPr="000F19D1">
        <w:rPr>
          <w:rFonts w:eastAsia="Calibri" w:cstheme="minorHAnsi"/>
          <w:lang w:val="en"/>
        </w:rPr>
        <w:t>Whoever willfully prevents, obstructs, misleads, delays or attempts to prevent, obstruct, mislead, or delay the communication of information or records relating to a violation of a Federal health care offense to a criminal investigator shall be fined under this title or imprisoned not more than 5 years, or both.</w:t>
      </w:r>
    </w:p>
    <w:p w14:paraId="45170D4A" w14:textId="78A8424E" w:rsidR="00F913E0" w:rsidRPr="000F19D1" w:rsidRDefault="00F913E0" w:rsidP="00374543">
      <w:pPr>
        <w:pStyle w:val="ListParagraph"/>
        <w:widowControl/>
        <w:numPr>
          <w:ilvl w:val="0"/>
          <w:numId w:val="9"/>
        </w:numPr>
        <w:spacing w:after="0" w:line="240" w:lineRule="auto"/>
        <w:rPr>
          <w:rFonts w:eastAsia="Calibri" w:cstheme="minorHAnsi"/>
          <w:lang w:val="en"/>
        </w:rPr>
      </w:pPr>
      <w:r w:rsidRPr="000F19D1">
        <w:rPr>
          <w:rFonts w:eastAsia="Calibri" w:cstheme="minorHAnsi"/>
          <w:lang w:val="en"/>
        </w:rPr>
        <w:t>As used in this section the term “criminal investigator” means any individual duly authorized by a department, agency, or armed force of the United States to conduct or engage in investigations for prosecutions for violations of health care offenses.</w:t>
      </w:r>
    </w:p>
    <w:p w14:paraId="2065A5FA" w14:textId="77777777" w:rsidR="00F913E0" w:rsidRPr="000F19D1" w:rsidRDefault="00F913E0" w:rsidP="00A35E05">
      <w:pPr>
        <w:widowControl/>
        <w:spacing w:after="0" w:line="240" w:lineRule="auto"/>
        <w:ind w:left="720" w:hanging="270"/>
        <w:rPr>
          <w:rFonts w:eastAsia="Calibri" w:cstheme="minorHAnsi"/>
          <w:color w:val="993366"/>
          <w:lang w:val="en"/>
        </w:rPr>
      </w:pPr>
    </w:p>
    <w:p w14:paraId="03A79DD2" w14:textId="1D61F366" w:rsidR="00F913E0" w:rsidRPr="00671FAB" w:rsidRDefault="00F913E0" w:rsidP="000F19D1">
      <w:pPr>
        <w:widowControl/>
        <w:spacing w:after="0" w:line="240" w:lineRule="auto"/>
        <w:rPr>
          <w:rFonts w:eastAsia="Calibri" w:cstheme="minorHAnsi"/>
          <w:color w:val="993366"/>
          <w:lang w:val="en"/>
        </w:rPr>
      </w:pPr>
      <w:r w:rsidRPr="000F19D1">
        <w:rPr>
          <w:rFonts w:eastAsia="Calibri" w:cstheme="minorHAnsi"/>
          <w:lang w:val="en"/>
        </w:rPr>
        <w:t xml:space="preserve">(Added </w:t>
      </w:r>
      <w:hyperlink r:id="rId18" w:tooltip="Pub. L. 104–191, title II" w:history="1">
        <w:r w:rsidRPr="000F19D1">
          <w:rPr>
            <w:rStyle w:val="Hyperlink"/>
            <w:rFonts w:eastAsia="Calibri" w:cstheme="minorHAnsi"/>
            <w:lang w:val="en"/>
          </w:rPr>
          <w:t>Pub. L. 104–191, title II</w:t>
        </w:r>
      </w:hyperlink>
      <w:r w:rsidRPr="000F19D1">
        <w:rPr>
          <w:rFonts w:eastAsia="Calibri" w:cstheme="minorHAnsi"/>
          <w:lang w:val="en"/>
        </w:rPr>
        <w:t xml:space="preserve">, § 245(a), Aug. 21, 1996, </w:t>
      </w:r>
      <w:hyperlink r:id="rId19" w:tooltip="110 Stat. 2017" w:history="1">
        <w:r w:rsidRPr="000F19D1">
          <w:rPr>
            <w:rStyle w:val="Hyperlink"/>
            <w:rFonts w:eastAsia="Calibri" w:cstheme="minorHAnsi"/>
            <w:lang w:val="en"/>
          </w:rPr>
          <w:t>110 Stat. 2017</w:t>
        </w:r>
      </w:hyperlink>
      <w:r w:rsidRPr="000F19D1">
        <w:rPr>
          <w:rFonts w:eastAsia="Calibri" w:cstheme="minorHAnsi"/>
          <w:lang w:val="en"/>
        </w:rPr>
        <w:t>.)</w:t>
      </w:r>
    </w:p>
    <w:p w14:paraId="1E8DD3BA" w14:textId="77777777" w:rsidR="00671FAB" w:rsidRDefault="00671FAB" w:rsidP="006D16E1">
      <w:pPr>
        <w:keepNext/>
        <w:spacing w:after="0" w:line="240" w:lineRule="auto"/>
        <w:rPr>
          <w:rFonts w:eastAsiaTheme="majorEastAsia" w:cstheme="minorHAnsi"/>
          <w:b/>
          <w:bCs/>
          <w:u w:val="single"/>
        </w:rPr>
      </w:pPr>
    </w:p>
    <w:p w14:paraId="578659CE" w14:textId="5C4B42A8" w:rsidR="00136843" w:rsidRPr="009607B9" w:rsidRDefault="009B76B6" w:rsidP="006D16E1">
      <w:pPr>
        <w:keepNext/>
        <w:spacing w:after="0" w:line="240" w:lineRule="auto"/>
        <w:rPr>
          <w:rFonts w:eastAsiaTheme="majorEastAsia" w:cstheme="minorHAnsi"/>
          <w:b/>
          <w:bCs/>
          <w:color w:val="0070C0"/>
        </w:rPr>
      </w:pPr>
      <w:r w:rsidRPr="009607B9">
        <w:rPr>
          <w:rFonts w:eastAsiaTheme="majorEastAsia" w:cstheme="minorHAnsi"/>
          <w:b/>
          <w:bCs/>
          <w:color w:val="0070C0"/>
        </w:rPr>
        <w:t>Opioids</w:t>
      </w:r>
      <w:r w:rsidR="00721B8A">
        <w:rPr>
          <w:rFonts w:eastAsiaTheme="majorEastAsia" w:cstheme="minorHAnsi"/>
          <w:b/>
          <w:bCs/>
          <w:color w:val="0070C0"/>
        </w:rPr>
        <w:t xml:space="preserve"> Session</w:t>
      </w:r>
    </w:p>
    <w:p w14:paraId="4AAB47ED" w14:textId="0F1AF7BF" w:rsidR="00136843" w:rsidRPr="009607B9" w:rsidRDefault="00136843" w:rsidP="009B565B">
      <w:pPr>
        <w:spacing w:before="120" w:after="120" w:line="240" w:lineRule="auto"/>
        <w:rPr>
          <w:rFonts w:cstheme="minorHAnsi"/>
        </w:rPr>
      </w:pPr>
      <w:r w:rsidRPr="009607B9">
        <w:rPr>
          <w:rFonts w:cstheme="minorHAnsi"/>
        </w:rPr>
        <w:t xml:space="preserve">Mary Beach kicked off the afternoon Special Session on </w:t>
      </w:r>
      <w:r w:rsidR="0024382F" w:rsidRPr="009607B9">
        <w:rPr>
          <w:rFonts w:cstheme="minorHAnsi"/>
        </w:rPr>
        <w:t>Opioids. S</w:t>
      </w:r>
      <w:r w:rsidR="0028239C" w:rsidRPr="009607B9">
        <w:rPr>
          <w:rFonts w:cstheme="minorHAnsi"/>
        </w:rPr>
        <w:t xml:space="preserve">he </w:t>
      </w:r>
      <w:r w:rsidRPr="009607B9">
        <w:rPr>
          <w:rFonts w:cstheme="minorHAnsi"/>
        </w:rPr>
        <w:t xml:space="preserve">expressed her gratitude for Partner contributions, provided meeting logistics, and </w:t>
      </w:r>
      <w:r w:rsidR="00AB14CF" w:rsidRPr="009607B9">
        <w:rPr>
          <w:rFonts w:cstheme="minorHAnsi"/>
        </w:rPr>
        <w:t>an</w:t>
      </w:r>
      <w:r w:rsidR="00C415F8" w:rsidRPr="009607B9">
        <w:rPr>
          <w:rFonts w:cstheme="minorHAnsi"/>
        </w:rPr>
        <w:t xml:space="preserve"> overview</w:t>
      </w:r>
      <w:r w:rsidR="00AB14CF" w:rsidRPr="009607B9">
        <w:rPr>
          <w:rFonts w:cstheme="minorHAnsi"/>
        </w:rPr>
        <w:t xml:space="preserve"> </w:t>
      </w:r>
      <w:r w:rsidR="00046833" w:rsidRPr="009607B9">
        <w:rPr>
          <w:rFonts w:cstheme="minorHAnsi"/>
          <w:noProof/>
        </w:rPr>
        <w:t>of</w:t>
      </w:r>
      <w:r w:rsidRPr="009607B9">
        <w:rPr>
          <w:rFonts w:cstheme="minorHAnsi"/>
        </w:rPr>
        <w:t xml:space="preserve"> the afternoon agenda.</w:t>
      </w:r>
    </w:p>
    <w:p w14:paraId="630951F4" w14:textId="486A0639" w:rsidR="0039103C" w:rsidRPr="009607B9" w:rsidRDefault="00C76E96" w:rsidP="00D84660">
      <w:pPr>
        <w:spacing w:after="120" w:line="240" w:lineRule="auto"/>
        <w:rPr>
          <w:rFonts w:cstheme="minorHAnsi"/>
        </w:rPr>
      </w:pPr>
      <w:r w:rsidRPr="009607B9">
        <w:rPr>
          <w:rFonts w:cstheme="minorHAnsi"/>
        </w:rPr>
        <w:t xml:space="preserve">Shantanu </w:t>
      </w:r>
      <w:r w:rsidR="00136843" w:rsidRPr="009607B9">
        <w:rPr>
          <w:rFonts w:cstheme="minorHAnsi"/>
        </w:rPr>
        <w:t>Agrawal w</w:t>
      </w:r>
      <w:r w:rsidR="007223D4" w:rsidRPr="009607B9">
        <w:rPr>
          <w:rFonts w:cstheme="minorHAnsi"/>
        </w:rPr>
        <w:t>elcomed</w:t>
      </w:r>
      <w:r w:rsidR="00136843" w:rsidRPr="009607B9">
        <w:rPr>
          <w:rFonts w:cstheme="minorHAnsi"/>
        </w:rPr>
        <w:t xml:space="preserve"> new and </w:t>
      </w:r>
      <w:r w:rsidR="00136843" w:rsidRPr="009607B9">
        <w:rPr>
          <w:rFonts w:cstheme="minorHAnsi"/>
          <w:noProof/>
        </w:rPr>
        <w:t>returning</w:t>
      </w:r>
      <w:r w:rsidR="00136843" w:rsidRPr="009607B9">
        <w:rPr>
          <w:rFonts w:cstheme="minorHAnsi"/>
        </w:rPr>
        <w:t xml:space="preserve"> </w:t>
      </w:r>
      <w:r w:rsidR="00A57B3D" w:rsidRPr="009607B9">
        <w:rPr>
          <w:rFonts w:cstheme="minorHAnsi"/>
        </w:rPr>
        <w:t>Partner</w:t>
      </w:r>
      <w:r w:rsidR="00602DB1" w:rsidRPr="009607B9">
        <w:rPr>
          <w:rFonts w:cstheme="minorHAnsi"/>
        </w:rPr>
        <w:t>s</w:t>
      </w:r>
      <w:r w:rsidR="00FB7EBD" w:rsidRPr="009607B9">
        <w:rPr>
          <w:rFonts w:cstheme="minorHAnsi"/>
        </w:rPr>
        <w:t xml:space="preserve"> </w:t>
      </w:r>
      <w:r w:rsidR="00B90D10" w:rsidRPr="009607B9">
        <w:rPr>
          <w:rFonts w:cstheme="minorHAnsi"/>
        </w:rPr>
        <w:t>to the meeting</w:t>
      </w:r>
      <w:r w:rsidR="00914D7D" w:rsidRPr="009607B9">
        <w:rPr>
          <w:rFonts w:cstheme="minorHAnsi"/>
        </w:rPr>
        <w:t>.</w:t>
      </w:r>
      <w:r w:rsidR="00B90D10" w:rsidRPr="009607B9">
        <w:rPr>
          <w:rFonts w:cstheme="minorHAnsi"/>
        </w:rPr>
        <w:t xml:space="preserve"> </w:t>
      </w:r>
      <w:r w:rsidR="00914D7D" w:rsidRPr="009607B9">
        <w:rPr>
          <w:rFonts w:cstheme="minorHAnsi"/>
        </w:rPr>
        <w:t xml:space="preserve">He began by </w:t>
      </w:r>
      <w:r w:rsidR="00136843" w:rsidRPr="009607B9">
        <w:rPr>
          <w:rFonts w:cstheme="minorHAnsi"/>
        </w:rPr>
        <w:t>set</w:t>
      </w:r>
      <w:r w:rsidR="00914D7D" w:rsidRPr="009607B9">
        <w:rPr>
          <w:rFonts w:cstheme="minorHAnsi"/>
        </w:rPr>
        <w:t>ting</w:t>
      </w:r>
      <w:r w:rsidR="00136843" w:rsidRPr="009607B9">
        <w:rPr>
          <w:rFonts w:cstheme="minorHAnsi"/>
        </w:rPr>
        <w:t xml:space="preserve"> the context </w:t>
      </w:r>
      <w:r w:rsidR="00CC474C" w:rsidRPr="009607B9">
        <w:rPr>
          <w:rFonts w:cstheme="minorHAnsi"/>
        </w:rPr>
        <w:t>for</w:t>
      </w:r>
      <w:r w:rsidR="00046833" w:rsidRPr="009607B9">
        <w:rPr>
          <w:rFonts w:cstheme="minorHAnsi"/>
        </w:rPr>
        <w:t xml:space="preserve"> the</w:t>
      </w:r>
      <w:r w:rsidR="00914D7D" w:rsidRPr="009607B9">
        <w:rPr>
          <w:rFonts w:cstheme="minorHAnsi"/>
        </w:rPr>
        <w:t xml:space="preserve"> </w:t>
      </w:r>
      <w:r w:rsidR="00914D7D" w:rsidRPr="009607B9">
        <w:rPr>
          <w:rFonts w:cstheme="minorHAnsi"/>
          <w:noProof/>
        </w:rPr>
        <w:t>d</w:t>
      </w:r>
      <w:r w:rsidR="00CC474C" w:rsidRPr="009607B9">
        <w:rPr>
          <w:rFonts w:cstheme="minorHAnsi"/>
          <w:noProof/>
        </w:rPr>
        <w:t>evelopment</w:t>
      </w:r>
      <w:r w:rsidR="00CC474C" w:rsidRPr="009607B9">
        <w:rPr>
          <w:rFonts w:cstheme="minorHAnsi"/>
        </w:rPr>
        <w:t xml:space="preserve"> of</w:t>
      </w:r>
      <w:r w:rsidR="00914D7D" w:rsidRPr="009607B9">
        <w:rPr>
          <w:rFonts w:cstheme="minorHAnsi"/>
        </w:rPr>
        <w:t xml:space="preserve"> the </w:t>
      </w:r>
      <w:r w:rsidR="000221E0" w:rsidRPr="009607B9">
        <w:rPr>
          <w:rFonts w:cstheme="minorHAnsi"/>
        </w:rPr>
        <w:t>HFPP Opioid</w:t>
      </w:r>
      <w:r w:rsidR="008E5BB2" w:rsidRPr="009607B9">
        <w:rPr>
          <w:rFonts w:cstheme="minorHAnsi"/>
        </w:rPr>
        <w:t>s</w:t>
      </w:r>
      <w:r w:rsidR="000221E0" w:rsidRPr="009607B9">
        <w:rPr>
          <w:rFonts w:cstheme="minorHAnsi"/>
        </w:rPr>
        <w:t xml:space="preserve"> Abuse White Paper </w:t>
      </w:r>
      <w:r w:rsidR="00136843" w:rsidRPr="009607B9">
        <w:rPr>
          <w:rFonts w:cstheme="minorHAnsi"/>
        </w:rPr>
        <w:t xml:space="preserve">and how CMS is </w:t>
      </w:r>
      <w:r w:rsidR="00CC474C" w:rsidRPr="009607B9">
        <w:rPr>
          <w:rFonts w:cstheme="minorHAnsi"/>
        </w:rPr>
        <w:t xml:space="preserve">currently </w:t>
      </w:r>
      <w:r w:rsidR="005468D2" w:rsidRPr="009607B9">
        <w:rPr>
          <w:rFonts w:cstheme="minorHAnsi"/>
        </w:rPr>
        <w:t xml:space="preserve">engaged </w:t>
      </w:r>
      <w:r w:rsidR="00A65121" w:rsidRPr="009607B9">
        <w:rPr>
          <w:rFonts w:cstheme="minorHAnsi"/>
        </w:rPr>
        <w:t xml:space="preserve">in </w:t>
      </w:r>
      <w:r w:rsidR="00CC474C" w:rsidRPr="009607B9">
        <w:rPr>
          <w:rFonts w:cstheme="minorHAnsi"/>
        </w:rPr>
        <w:t>confronting</w:t>
      </w:r>
      <w:r w:rsidR="00914D7D" w:rsidRPr="009607B9">
        <w:rPr>
          <w:rFonts w:cstheme="minorHAnsi"/>
        </w:rPr>
        <w:t xml:space="preserve"> the nationwide opioid epidemic</w:t>
      </w:r>
      <w:r w:rsidR="002803AE" w:rsidRPr="009607B9">
        <w:rPr>
          <w:rFonts w:cstheme="minorHAnsi"/>
        </w:rPr>
        <w:t xml:space="preserve">. The </w:t>
      </w:r>
      <w:r w:rsidR="00CC474C" w:rsidRPr="009607B9">
        <w:rPr>
          <w:rFonts w:cstheme="minorHAnsi"/>
        </w:rPr>
        <w:t xml:space="preserve">White </w:t>
      </w:r>
      <w:r w:rsidR="00CF2BA2" w:rsidRPr="009607B9">
        <w:rPr>
          <w:rFonts w:cstheme="minorHAnsi"/>
        </w:rPr>
        <w:t xml:space="preserve">Paper </w:t>
      </w:r>
      <w:r w:rsidR="002803AE" w:rsidRPr="009607B9">
        <w:rPr>
          <w:rFonts w:cstheme="minorHAnsi"/>
        </w:rPr>
        <w:t xml:space="preserve">will </w:t>
      </w:r>
      <w:r w:rsidR="00112910" w:rsidRPr="009607B9">
        <w:rPr>
          <w:rFonts w:cstheme="minorHAnsi"/>
        </w:rPr>
        <w:t xml:space="preserve">synthesize Partner themes </w:t>
      </w:r>
      <w:r w:rsidR="00C27F99" w:rsidRPr="009607B9">
        <w:rPr>
          <w:rFonts w:cstheme="minorHAnsi"/>
        </w:rPr>
        <w:t xml:space="preserve">and the broader work done by CMS and </w:t>
      </w:r>
      <w:r w:rsidR="00662C93" w:rsidRPr="009607B9">
        <w:rPr>
          <w:rFonts w:cstheme="minorHAnsi"/>
        </w:rPr>
        <w:t>the Department of Health and Human Services (</w:t>
      </w:r>
      <w:r w:rsidR="00C27F99" w:rsidRPr="009607B9">
        <w:rPr>
          <w:rFonts w:cstheme="minorHAnsi"/>
        </w:rPr>
        <w:t>HHS</w:t>
      </w:r>
      <w:r w:rsidR="00662C93" w:rsidRPr="009607B9">
        <w:rPr>
          <w:rFonts w:cstheme="minorHAnsi"/>
        </w:rPr>
        <w:t>)</w:t>
      </w:r>
      <w:r w:rsidR="002803AE" w:rsidRPr="009607B9">
        <w:rPr>
          <w:rFonts w:cstheme="minorHAnsi"/>
        </w:rPr>
        <w:t xml:space="preserve">, </w:t>
      </w:r>
      <w:r w:rsidR="0039103C" w:rsidRPr="009607B9">
        <w:rPr>
          <w:rFonts w:cstheme="minorHAnsi"/>
        </w:rPr>
        <w:t>including</w:t>
      </w:r>
      <w:r w:rsidR="00450BAB" w:rsidRPr="009607B9">
        <w:rPr>
          <w:rFonts w:cstheme="minorHAnsi"/>
        </w:rPr>
        <w:t xml:space="preserve"> the following suggestions</w:t>
      </w:r>
      <w:r w:rsidR="0039103C" w:rsidRPr="009607B9">
        <w:rPr>
          <w:rFonts w:cstheme="minorHAnsi"/>
        </w:rPr>
        <w:t>:</w:t>
      </w:r>
    </w:p>
    <w:p w14:paraId="7799E7E3" w14:textId="77777777" w:rsidR="0039103C" w:rsidRPr="009607B9" w:rsidRDefault="0039103C" w:rsidP="00374543">
      <w:pPr>
        <w:pStyle w:val="ListParagraph"/>
        <w:widowControl/>
        <w:numPr>
          <w:ilvl w:val="0"/>
          <w:numId w:val="1"/>
        </w:numPr>
        <w:rPr>
          <w:rFonts w:cstheme="minorHAnsi"/>
        </w:rPr>
      </w:pPr>
      <w:r w:rsidRPr="009607B9">
        <w:rPr>
          <w:rFonts w:cstheme="minorHAnsi"/>
        </w:rPr>
        <w:t xml:space="preserve">Implement more effective person-centered and population-based strategies to reduce the risk of opioid use disorders, overdoses, inappropriate prescribing, and drug diversion </w:t>
      </w:r>
    </w:p>
    <w:p w14:paraId="6661DF08" w14:textId="77777777" w:rsidR="0039103C" w:rsidRPr="009607B9" w:rsidRDefault="0039103C" w:rsidP="00374543">
      <w:pPr>
        <w:pStyle w:val="ListParagraph"/>
        <w:widowControl/>
        <w:numPr>
          <w:ilvl w:val="0"/>
          <w:numId w:val="1"/>
        </w:numPr>
        <w:rPr>
          <w:rFonts w:cstheme="minorHAnsi"/>
        </w:rPr>
      </w:pPr>
      <w:r w:rsidRPr="009607B9">
        <w:rPr>
          <w:rFonts w:cstheme="minorHAnsi"/>
        </w:rPr>
        <w:lastRenderedPageBreak/>
        <w:t>Expand the use and distribution of naloxone</w:t>
      </w:r>
    </w:p>
    <w:p w14:paraId="53B62194" w14:textId="331839BE" w:rsidR="0039103C" w:rsidRPr="009607B9" w:rsidRDefault="0039103C" w:rsidP="00374543">
      <w:pPr>
        <w:pStyle w:val="ListParagraph"/>
        <w:widowControl/>
        <w:numPr>
          <w:ilvl w:val="0"/>
          <w:numId w:val="1"/>
        </w:numPr>
        <w:rPr>
          <w:rFonts w:cstheme="minorHAnsi"/>
        </w:rPr>
      </w:pPr>
      <w:r w:rsidRPr="009607B9">
        <w:rPr>
          <w:rFonts w:cstheme="minorHAnsi"/>
        </w:rPr>
        <w:t>Expand screening, diagnosis, and treatment of opioid use disorders, to include incr</w:t>
      </w:r>
      <w:r w:rsidR="001D48CA" w:rsidRPr="009607B9">
        <w:rPr>
          <w:rFonts w:cstheme="minorHAnsi"/>
        </w:rPr>
        <w:t>easing access to Medication-Assisted T</w:t>
      </w:r>
      <w:r w:rsidRPr="009607B9">
        <w:rPr>
          <w:rFonts w:cstheme="minorHAnsi"/>
        </w:rPr>
        <w:t>reatment (MAT)</w:t>
      </w:r>
    </w:p>
    <w:p w14:paraId="644E869A" w14:textId="7E854BCA" w:rsidR="000F7FEB" w:rsidRPr="009607B9" w:rsidRDefault="0039103C" w:rsidP="00374543">
      <w:pPr>
        <w:pStyle w:val="ListParagraph"/>
        <w:widowControl/>
        <w:numPr>
          <w:ilvl w:val="0"/>
          <w:numId w:val="1"/>
        </w:numPr>
        <w:rPr>
          <w:rFonts w:eastAsiaTheme="majorEastAsia" w:cstheme="minorHAnsi"/>
          <w:bCs/>
        </w:rPr>
      </w:pPr>
      <w:r w:rsidRPr="009607B9">
        <w:rPr>
          <w:rFonts w:cstheme="minorHAnsi"/>
        </w:rPr>
        <w:t>Increase the use of evidence</w:t>
      </w:r>
      <w:r w:rsidRPr="009607B9">
        <w:rPr>
          <w:rFonts w:eastAsiaTheme="majorEastAsia" w:cstheme="minorHAnsi"/>
          <w:bCs/>
        </w:rPr>
        <w:t>-based practices for acute and chronic pain management</w:t>
      </w:r>
    </w:p>
    <w:p w14:paraId="3B4CD8B3" w14:textId="5FD2B866" w:rsidR="0088194E" w:rsidRPr="009607B9" w:rsidRDefault="0088194E" w:rsidP="00D84660">
      <w:pPr>
        <w:spacing w:before="120" w:after="0" w:line="240" w:lineRule="auto"/>
        <w:ind w:right="144"/>
        <w:rPr>
          <w:rFonts w:eastAsiaTheme="majorEastAsia" w:cstheme="minorHAnsi"/>
          <w:bCs/>
        </w:rPr>
      </w:pPr>
      <w:r w:rsidRPr="009607B9">
        <w:rPr>
          <w:rFonts w:eastAsiaTheme="majorEastAsia" w:cstheme="minorHAnsi"/>
          <w:bCs/>
        </w:rPr>
        <w:t xml:space="preserve">Mary Green, CPI, CMS briefed Partners on the </w:t>
      </w:r>
      <w:r w:rsidR="00FF346D" w:rsidRPr="009607B9">
        <w:rPr>
          <w:rFonts w:eastAsiaTheme="majorEastAsia" w:cstheme="minorHAnsi"/>
          <w:bCs/>
        </w:rPr>
        <w:t>recent</w:t>
      </w:r>
      <w:r w:rsidRPr="009607B9">
        <w:rPr>
          <w:rFonts w:eastAsiaTheme="majorEastAsia" w:cstheme="minorHAnsi"/>
          <w:bCs/>
        </w:rPr>
        <w:t xml:space="preserve"> work</w:t>
      </w:r>
      <w:r w:rsidR="00344B6D" w:rsidRPr="009607B9">
        <w:rPr>
          <w:rFonts w:eastAsiaTheme="majorEastAsia" w:cstheme="minorHAnsi"/>
          <w:bCs/>
        </w:rPr>
        <w:t xml:space="preserve"> </w:t>
      </w:r>
      <w:r w:rsidR="00FF346D" w:rsidRPr="009607B9">
        <w:rPr>
          <w:rFonts w:eastAsiaTheme="majorEastAsia" w:cstheme="minorHAnsi"/>
          <w:bCs/>
        </w:rPr>
        <w:t xml:space="preserve">in progress by </w:t>
      </w:r>
      <w:r w:rsidR="00344B6D" w:rsidRPr="009607B9">
        <w:rPr>
          <w:rFonts w:eastAsiaTheme="majorEastAsia" w:cstheme="minorHAnsi"/>
          <w:bCs/>
        </w:rPr>
        <w:t>HHS and</w:t>
      </w:r>
      <w:r w:rsidRPr="009607B9">
        <w:rPr>
          <w:rFonts w:eastAsiaTheme="majorEastAsia" w:cstheme="minorHAnsi"/>
          <w:bCs/>
        </w:rPr>
        <w:t xml:space="preserve"> CMS on </w:t>
      </w:r>
      <w:r w:rsidR="00FF346D" w:rsidRPr="009607B9">
        <w:rPr>
          <w:rFonts w:eastAsiaTheme="majorEastAsia" w:cstheme="minorHAnsi"/>
          <w:bCs/>
        </w:rPr>
        <w:t>O</w:t>
      </w:r>
      <w:r w:rsidRPr="009607B9">
        <w:rPr>
          <w:rFonts w:eastAsiaTheme="majorEastAsia" w:cstheme="minorHAnsi"/>
          <w:bCs/>
        </w:rPr>
        <w:t xml:space="preserve">pioids </w:t>
      </w:r>
      <w:r w:rsidR="00FF346D" w:rsidRPr="009607B9">
        <w:rPr>
          <w:rFonts w:eastAsiaTheme="majorEastAsia" w:cstheme="minorHAnsi"/>
          <w:bCs/>
        </w:rPr>
        <w:t>A</w:t>
      </w:r>
      <w:r w:rsidRPr="009607B9">
        <w:rPr>
          <w:rFonts w:eastAsiaTheme="majorEastAsia" w:cstheme="minorHAnsi"/>
          <w:bCs/>
        </w:rPr>
        <w:t xml:space="preserve">buse. </w:t>
      </w:r>
      <w:r w:rsidR="00344B6D" w:rsidRPr="009607B9">
        <w:rPr>
          <w:rFonts w:eastAsiaTheme="majorEastAsia" w:cstheme="minorHAnsi"/>
          <w:bCs/>
        </w:rPr>
        <w:t xml:space="preserve">She discussed CMS’s goal </w:t>
      </w:r>
      <w:r w:rsidR="00FF346D" w:rsidRPr="009607B9">
        <w:rPr>
          <w:rFonts w:eastAsiaTheme="majorEastAsia" w:cstheme="minorHAnsi"/>
          <w:bCs/>
        </w:rPr>
        <w:t>to</w:t>
      </w:r>
      <w:r w:rsidR="00344B6D" w:rsidRPr="009607B9">
        <w:rPr>
          <w:rFonts w:eastAsiaTheme="majorEastAsia" w:cstheme="minorHAnsi"/>
          <w:bCs/>
        </w:rPr>
        <w:t xml:space="preserve"> decreas</w:t>
      </w:r>
      <w:r w:rsidR="00FF346D" w:rsidRPr="009607B9">
        <w:rPr>
          <w:rFonts w:eastAsiaTheme="majorEastAsia" w:cstheme="minorHAnsi"/>
          <w:bCs/>
        </w:rPr>
        <w:t>e</w:t>
      </w:r>
      <w:r w:rsidR="00344B6D" w:rsidRPr="009607B9">
        <w:rPr>
          <w:rFonts w:eastAsiaTheme="majorEastAsia" w:cstheme="minorHAnsi"/>
          <w:bCs/>
        </w:rPr>
        <w:t xml:space="preserve"> opioid overdos</w:t>
      </w:r>
      <w:r w:rsidR="00FF346D" w:rsidRPr="009607B9">
        <w:rPr>
          <w:rFonts w:eastAsiaTheme="majorEastAsia" w:cstheme="minorHAnsi"/>
          <w:bCs/>
        </w:rPr>
        <w:t>ing</w:t>
      </w:r>
      <w:r w:rsidR="00344B6D" w:rsidRPr="009607B9">
        <w:rPr>
          <w:rFonts w:eastAsiaTheme="majorEastAsia" w:cstheme="minorHAnsi"/>
          <w:bCs/>
        </w:rPr>
        <w:t xml:space="preserve"> and how to make an impact for the future. Mary emphasized the need to look at improving the quality of care</w:t>
      </w:r>
      <w:r w:rsidR="00A94326" w:rsidRPr="009607B9">
        <w:rPr>
          <w:rFonts w:eastAsiaTheme="majorEastAsia" w:cstheme="minorHAnsi"/>
          <w:bCs/>
        </w:rPr>
        <w:t xml:space="preserve"> and addressing program coverage, i.e. the need to </w:t>
      </w:r>
      <w:r w:rsidR="00344B6D" w:rsidRPr="009607B9">
        <w:rPr>
          <w:rFonts w:eastAsiaTheme="majorEastAsia" w:cstheme="minorHAnsi"/>
          <w:bCs/>
        </w:rPr>
        <w:t xml:space="preserve">identify those prescribers who are not </w:t>
      </w:r>
      <w:r w:rsidR="00A94326" w:rsidRPr="009607B9">
        <w:rPr>
          <w:rFonts w:eastAsiaTheme="majorEastAsia" w:cstheme="minorHAnsi"/>
          <w:bCs/>
        </w:rPr>
        <w:t>doing the right thing</w:t>
      </w:r>
      <w:r w:rsidR="00344B6D" w:rsidRPr="009607B9">
        <w:rPr>
          <w:rFonts w:eastAsiaTheme="majorEastAsia" w:cstheme="minorHAnsi"/>
          <w:bCs/>
        </w:rPr>
        <w:t xml:space="preserve">. CMS identified </w:t>
      </w:r>
      <w:r w:rsidR="00A94326" w:rsidRPr="009607B9">
        <w:rPr>
          <w:rFonts w:eastAsiaTheme="majorEastAsia" w:cstheme="minorHAnsi"/>
          <w:bCs/>
        </w:rPr>
        <w:t xml:space="preserve">several </w:t>
      </w:r>
      <w:r w:rsidR="00344B6D" w:rsidRPr="009607B9">
        <w:rPr>
          <w:rFonts w:eastAsiaTheme="majorEastAsia" w:cstheme="minorHAnsi"/>
          <w:bCs/>
        </w:rPr>
        <w:t>priority areas which include</w:t>
      </w:r>
      <w:r w:rsidR="00A94326" w:rsidRPr="009607B9">
        <w:rPr>
          <w:rFonts w:eastAsiaTheme="majorEastAsia" w:cstheme="minorHAnsi"/>
          <w:bCs/>
        </w:rPr>
        <w:t>d</w:t>
      </w:r>
      <w:r w:rsidR="00344B6D" w:rsidRPr="009607B9">
        <w:rPr>
          <w:rFonts w:eastAsiaTheme="majorEastAsia" w:cstheme="minorHAnsi"/>
          <w:bCs/>
        </w:rPr>
        <w:t xml:space="preserve">:  clean-management by prescribers; education and technical assistance; best practices </w:t>
      </w:r>
      <w:r w:rsidR="00FF346D" w:rsidRPr="009607B9">
        <w:rPr>
          <w:rFonts w:eastAsiaTheme="majorEastAsia" w:cstheme="minorHAnsi"/>
          <w:bCs/>
        </w:rPr>
        <w:t>for</w:t>
      </w:r>
      <w:r w:rsidR="00344B6D" w:rsidRPr="009607B9">
        <w:rPr>
          <w:rFonts w:eastAsiaTheme="majorEastAsia" w:cstheme="minorHAnsi"/>
          <w:bCs/>
        </w:rPr>
        <w:t xml:space="preserve"> acute and chronic pain; and distributing this information through peer group networks.</w:t>
      </w:r>
    </w:p>
    <w:p w14:paraId="332736BD" w14:textId="77777777" w:rsidR="000F7FEB" w:rsidRPr="009607B9" w:rsidRDefault="000F7FEB" w:rsidP="000F7FEB">
      <w:pPr>
        <w:spacing w:after="0" w:line="240" w:lineRule="auto"/>
        <w:rPr>
          <w:rFonts w:cstheme="minorHAnsi"/>
        </w:rPr>
      </w:pPr>
    </w:p>
    <w:p w14:paraId="2A900149" w14:textId="623F162E" w:rsidR="00291BBC" w:rsidRPr="009607B9" w:rsidRDefault="00291BBC" w:rsidP="00D84660">
      <w:pPr>
        <w:spacing w:after="120" w:line="240" w:lineRule="auto"/>
        <w:rPr>
          <w:rFonts w:cstheme="minorHAnsi"/>
          <w:bCs/>
        </w:rPr>
      </w:pPr>
      <w:r w:rsidRPr="009607B9">
        <w:rPr>
          <w:rFonts w:cstheme="minorHAnsi"/>
        </w:rPr>
        <w:t>Tim Carrico, TTP</w:t>
      </w:r>
      <w:r w:rsidR="006B4A2D" w:rsidRPr="009607B9">
        <w:rPr>
          <w:rFonts w:cstheme="minorHAnsi"/>
        </w:rPr>
        <w:t>,</w:t>
      </w:r>
      <w:r w:rsidRPr="009607B9">
        <w:rPr>
          <w:rFonts w:cstheme="minorHAnsi"/>
        </w:rPr>
        <w:t xml:space="preserve"> talked about the themes </w:t>
      </w:r>
      <w:r w:rsidR="00EE7357" w:rsidRPr="009607B9">
        <w:rPr>
          <w:rFonts w:cstheme="minorHAnsi"/>
        </w:rPr>
        <w:t xml:space="preserve">that will </w:t>
      </w:r>
      <w:r w:rsidR="008B099D" w:rsidRPr="009607B9">
        <w:rPr>
          <w:rFonts w:cstheme="minorHAnsi"/>
        </w:rPr>
        <w:t xml:space="preserve">be present </w:t>
      </w:r>
      <w:r w:rsidRPr="009607B9">
        <w:rPr>
          <w:rFonts w:cstheme="minorHAnsi"/>
        </w:rPr>
        <w:t xml:space="preserve">throughout the </w:t>
      </w:r>
      <w:r w:rsidR="00CC1C66" w:rsidRPr="009607B9">
        <w:rPr>
          <w:rFonts w:cstheme="minorHAnsi"/>
        </w:rPr>
        <w:t>HFPP Opioid</w:t>
      </w:r>
      <w:r w:rsidR="008E5BB2" w:rsidRPr="009607B9">
        <w:rPr>
          <w:rFonts w:cstheme="minorHAnsi"/>
        </w:rPr>
        <w:t>s</w:t>
      </w:r>
      <w:r w:rsidR="00CC1C66" w:rsidRPr="009607B9">
        <w:rPr>
          <w:rFonts w:cstheme="minorHAnsi"/>
        </w:rPr>
        <w:t xml:space="preserve"> Abuse White Paper</w:t>
      </w:r>
      <w:r w:rsidRPr="009607B9">
        <w:rPr>
          <w:rFonts w:cstheme="minorHAnsi"/>
        </w:rPr>
        <w:t xml:space="preserve">, </w:t>
      </w:r>
      <w:r w:rsidR="008B099D" w:rsidRPr="009607B9">
        <w:rPr>
          <w:rFonts w:cstheme="minorHAnsi"/>
        </w:rPr>
        <w:t xml:space="preserve">which </w:t>
      </w:r>
      <w:r w:rsidR="008B099D" w:rsidRPr="00EB668B">
        <w:rPr>
          <w:rFonts w:cstheme="minorHAnsi"/>
          <w:noProof/>
        </w:rPr>
        <w:t>are</w:t>
      </w:r>
      <w:r w:rsidR="008B099D" w:rsidRPr="009607B9">
        <w:rPr>
          <w:rFonts w:cstheme="minorHAnsi"/>
        </w:rPr>
        <w:t xml:space="preserve"> </w:t>
      </w:r>
      <w:r w:rsidRPr="009607B9">
        <w:rPr>
          <w:rFonts w:cstheme="minorHAnsi"/>
        </w:rPr>
        <w:t xml:space="preserve">described below. Tim introduced David Rein, National Opinion Research Center (NORC) at the University of Chicago, </w:t>
      </w:r>
      <w:r w:rsidR="008B099D" w:rsidRPr="009607B9">
        <w:rPr>
          <w:rFonts w:cstheme="minorHAnsi"/>
        </w:rPr>
        <w:t xml:space="preserve">also a part of the TTP, </w:t>
      </w:r>
      <w:r w:rsidRPr="009607B9">
        <w:rPr>
          <w:rFonts w:cstheme="minorHAnsi"/>
        </w:rPr>
        <w:t>who facilitate</w:t>
      </w:r>
      <w:r w:rsidR="00526444" w:rsidRPr="009607B9">
        <w:rPr>
          <w:rFonts w:cstheme="minorHAnsi"/>
        </w:rPr>
        <w:t xml:space="preserve">d </w:t>
      </w:r>
      <w:r w:rsidR="00670A72" w:rsidRPr="009607B9">
        <w:rPr>
          <w:rFonts w:cstheme="minorHAnsi"/>
        </w:rPr>
        <w:t xml:space="preserve">the afternoon </w:t>
      </w:r>
      <w:r w:rsidR="000F53F7" w:rsidRPr="009607B9">
        <w:rPr>
          <w:rFonts w:cstheme="minorHAnsi"/>
        </w:rPr>
        <w:t>session. David provided attendees with a thorough over</w:t>
      </w:r>
      <w:r w:rsidR="000F53F7" w:rsidRPr="009607B9">
        <w:rPr>
          <w:rFonts w:cstheme="minorHAnsi"/>
          <w:bCs/>
        </w:rPr>
        <w:t xml:space="preserve">view of the </w:t>
      </w:r>
      <w:r w:rsidR="006B4A2D" w:rsidRPr="009607B9">
        <w:rPr>
          <w:rFonts w:cstheme="minorHAnsi"/>
          <w:bCs/>
        </w:rPr>
        <w:t xml:space="preserve">White Paper </w:t>
      </w:r>
      <w:r w:rsidR="000F53F7" w:rsidRPr="009607B9">
        <w:rPr>
          <w:rFonts w:cstheme="minorHAnsi"/>
          <w:bCs/>
        </w:rPr>
        <w:t>objectives, goal</w:t>
      </w:r>
      <w:r w:rsidR="006B4A2D" w:rsidRPr="009607B9">
        <w:rPr>
          <w:rFonts w:cstheme="minorHAnsi"/>
          <w:bCs/>
        </w:rPr>
        <w:t>s</w:t>
      </w:r>
      <w:r w:rsidR="000F53F7" w:rsidRPr="009607B9">
        <w:rPr>
          <w:rFonts w:cstheme="minorHAnsi"/>
          <w:bCs/>
        </w:rPr>
        <w:t xml:space="preserve"> for </w:t>
      </w:r>
      <w:r w:rsidR="00D43707" w:rsidRPr="009607B9">
        <w:rPr>
          <w:rFonts w:cstheme="minorHAnsi"/>
          <w:bCs/>
        </w:rPr>
        <w:t xml:space="preserve">the session, </w:t>
      </w:r>
      <w:r w:rsidR="00672599" w:rsidRPr="009607B9">
        <w:rPr>
          <w:rFonts w:cstheme="minorHAnsi"/>
          <w:bCs/>
        </w:rPr>
        <w:t>including soliciting</w:t>
      </w:r>
      <w:r w:rsidR="00616C57" w:rsidRPr="009607B9">
        <w:rPr>
          <w:rFonts w:cstheme="minorHAnsi"/>
          <w:bCs/>
        </w:rPr>
        <w:t xml:space="preserve"> individual Partner discussion and input </w:t>
      </w:r>
      <w:r w:rsidR="000F53F7" w:rsidRPr="009607B9">
        <w:rPr>
          <w:rFonts w:cstheme="minorHAnsi"/>
          <w:bCs/>
        </w:rPr>
        <w:t xml:space="preserve">on </w:t>
      </w:r>
      <w:r w:rsidR="006B4A2D" w:rsidRPr="009607B9">
        <w:rPr>
          <w:rFonts w:cstheme="minorHAnsi"/>
          <w:bCs/>
        </w:rPr>
        <w:t>V</w:t>
      </w:r>
      <w:r w:rsidR="000F53F7" w:rsidRPr="009607B9">
        <w:rPr>
          <w:rFonts w:cstheme="minorHAnsi"/>
          <w:bCs/>
        </w:rPr>
        <w:t xml:space="preserve">alue </w:t>
      </w:r>
      <w:r w:rsidR="006B4A2D" w:rsidRPr="009607B9">
        <w:rPr>
          <w:rFonts w:cstheme="minorHAnsi"/>
          <w:bCs/>
        </w:rPr>
        <w:t>S</w:t>
      </w:r>
      <w:r w:rsidR="000F53F7" w:rsidRPr="009607B9">
        <w:rPr>
          <w:rFonts w:cstheme="minorHAnsi"/>
          <w:bCs/>
        </w:rPr>
        <w:t xml:space="preserve">tatements and </w:t>
      </w:r>
      <w:r w:rsidR="006B4A2D" w:rsidRPr="009607B9">
        <w:rPr>
          <w:rFonts w:cstheme="minorHAnsi"/>
          <w:bCs/>
        </w:rPr>
        <w:t>S</w:t>
      </w:r>
      <w:r w:rsidR="000F53F7" w:rsidRPr="009607B9">
        <w:rPr>
          <w:rFonts w:cstheme="minorHAnsi"/>
          <w:bCs/>
        </w:rPr>
        <w:t>trategies</w:t>
      </w:r>
      <w:r w:rsidR="00794AE4" w:rsidRPr="009607B9">
        <w:rPr>
          <w:rFonts w:cstheme="minorHAnsi"/>
          <w:bCs/>
        </w:rPr>
        <w:t>.</w:t>
      </w:r>
    </w:p>
    <w:p w14:paraId="312EE0C5" w14:textId="2AC3C1AB" w:rsidR="00D335FD" w:rsidRPr="009607B9" w:rsidRDefault="003C3391" w:rsidP="00D84660">
      <w:pPr>
        <w:spacing w:after="120" w:line="240" w:lineRule="auto"/>
        <w:rPr>
          <w:rFonts w:cstheme="minorHAnsi"/>
        </w:rPr>
      </w:pPr>
      <w:r w:rsidRPr="009607B9">
        <w:rPr>
          <w:rFonts w:cstheme="minorHAnsi"/>
        </w:rPr>
        <w:t>The afternoon then culminated into a robust discussion on opioids among private payer, state, association,</w:t>
      </w:r>
      <w:r w:rsidR="00046833" w:rsidRPr="009607B9">
        <w:rPr>
          <w:rFonts w:cstheme="minorHAnsi"/>
        </w:rPr>
        <w:t xml:space="preserve"> a</w:t>
      </w:r>
      <w:r w:rsidRPr="009607B9">
        <w:rPr>
          <w:rFonts w:cstheme="minorHAnsi"/>
        </w:rPr>
        <w:t xml:space="preserve"> </w:t>
      </w:r>
      <w:r w:rsidRPr="009607B9">
        <w:rPr>
          <w:rFonts w:cstheme="minorHAnsi"/>
          <w:noProof/>
        </w:rPr>
        <w:t>federal</w:t>
      </w:r>
      <w:r w:rsidRPr="009607B9">
        <w:rPr>
          <w:rFonts w:cstheme="minorHAnsi"/>
        </w:rPr>
        <w:t xml:space="preserve"> agency, and law enforcement Partners who volunteered as “Champions” to help develop and promote the </w:t>
      </w:r>
      <w:r w:rsidR="00CB1F5D" w:rsidRPr="009607B9">
        <w:rPr>
          <w:rFonts w:cstheme="minorHAnsi"/>
        </w:rPr>
        <w:t>HFPP Opioid</w:t>
      </w:r>
      <w:r w:rsidR="00672599" w:rsidRPr="009607B9">
        <w:rPr>
          <w:rFonts w:cstheme="minorHAnsi"/>
        </w:rPr>
        <w:t>s</w:t>
      </w:r>
      <w:r w:rsidR="00CB1F5D" w:rsidRPr="009607B9">
        <w:rPr>
          <w:rFonts w:cstheme="minorHAnsi"/>
        </w:rPr>
        <w:t xml:space="preserve"> Abuse White Paper</w:t>
      </w:r>
      <w:r w:rsidRPr="009607B9">
        <w:rPr>
          <w:rFonts w:cstheme="minorHAnsi"/>
        </w:rPr>
        <w:t>. A goal of the afternoon session was to</w:t>
      </w:r>
      <w:r w:rsidR="00616C57" w:rsidRPr="009607B9">
        <w:rPr>
          <w:rFonts w:cstheme="minorHAnsi"/>
        </w:rPr>
        <w:t xml:space="preserve"> obtain specific</w:t>
      </w:r>
      <w:r w:rsidRPr="009607B9">
        <w:rPr>
          <w:rFonts w:cstheme="minorHAnsi"/>
        </w:rPr>
        <w:t xml:space="preserve"> Partner</w:t>
      </w:r>
      <w:r w:rsidR="00616C57" w:rsidRPr="009607B9">
        <w:rPr>
          <w:rFonts w:cstheme="minorHAnsi"/>
        </w:rPr>
        <w:t xml:space="preserve"> input</w:t>
      </w:r>
      <w:r w:rsidRPr="009607B9">
        <w:rPr>
          <w:rFonts w:cstheme="minorHAnsi"/>
        </w:rPr>
        <w:t xml:space="preserve"> </w:t>
      </w:r>
      <w:r w:rsidR="00616C57" w:rsidRPr="009607B9">
        <w:rPr>
          <w:rFonts w:cstheme="minorHAnsi"/>
        </w:rPr>
        <w:t xml:space="preserve">on </w:t>
      </w:r>
      <w:r w:rsidRPr="009607B9">
        <w:rPr>
          <w:rFonts w:cstheme="minorHAnsi"/>
        </w:rPr>
        <w:t xml:space="preserve">the White Paper </w:t>
      </w:r>
      <w:r w:rsidR="006B4A2D" w:rsidRPr="009607B9">
        <w:rPr>
          <w:rFonts w:cstheme="minorHAnsi"/>
        </w:rPr>
        <w:t>V</w:t>
      </w:r>
      <w:r w:rsidR="006218D5" w:rsidRPr="009607B9">
        <w:rPr>
          <w:rFonts w:cstheme="minorHAnsi"/>
        </w:rPr>
        <w:t xml:space="preserve">alue </w:t>
      </w:r>
      <w:r w:rsidR="006B4A2D" w:rsidRPr="009607B9">
        <w:rPr>
          <w:rFonts w:cstheme="minorHAnsi"/>
        </w:rPr>
        <w:t>S</w:t>
      </w:r>
      <w:r w:rsidR="006218D5" w:rsidRPr="009607B9">
        <w:rPr>
          <w:rFonts w:cstheme="minorHAnsi"/>
        </w:rPr>
        <w:t xml:space="preserve">tatements and </w:t>
      </w:r>
      <w:r w:rsidR="006B4A2D" w:rsidRPr="009607B9">
        <w:rPr>
          <w:rFonts w:cstheme="minorHAnsi"/>
        </w:rPr>
        <w:t>S</w:t>
      </w:r>
      <w:r w:rsidRPr="009607B9">
        <w:rPr>
          <w:rFonts w:cstheme="minorHAnsi"/>
        </w:rPr>
        <w:t>trategies.</w:t>
      </w:r>
    </w:p>
    <w:p w14:paraId="1A19D3E3" w14:textId="1E0E0F9A" w:rsidR="00136843" w:rsidRPr="009607B9" w:rsidRDefault="00136843" w:rsidP="008533C5">
      <w:pPr>
        <w:spacing w:before="120" w:after="0" w:line="240" w:lineRule="auto"/>
        <w:ind w:right="144"/>
        <w:rPr>
          <w:rFonts w:eastAsiaTheme="majorEastAsia" w:cstheme="minorHAnsi"/>
          <w:bCs/>
          <w:u w:val="single"/>
        </w:rPr>
      </w:pPr>
      <w:r w:rsidRPr="009607B9">
        <w:rPr>
          <w:rFonts w:eastAsiaTheme="majorEastAsia" w:cstheme="minorHAnsi"/>
          <w:bCs/>
        </w:rPr>
        <w:t xml:space="preserve">Attendees provided insights, best practices, </w:t>
      </w:r>
      <w:r w:rsidR="00E733E3" w:rsidRPr="009607B9">
        <w:rPr>
          <w:rFonts w:eastAsiaTheme="majorEastAsia" w:cstheme="minorHAnsi"/>
          <w:bCs/>
        </w:rPr>
        <w:t xml:space="preserve">and </w:t>
      </w:r>
      <w:r w:rsidRPr="009607B9">
        <w:rPr>
          <w:rFonts w:eastAsiaTheme="majorEastAsia" w:cstheme="minorHAnsi"/>
          <w:bCs/>
        </w:rPr>
        <w:t xml:space="preserve">lessons learned </w:t>
      </w:r>
      <w:r w:rsidRPr="009607B9">
        <w:rPr>
          <w:rFonts w:eastAsiaTheme="majorEastAsia" w:cstheme="minorHAnsi"/>
          <w:bCs/>
          <w:noProof/>
        </w:rPr>
        <w:t>on</w:t>
      </w:r>
      <w:r w:rsidRPr="009607B9">
        <w:rPr>
          <w:rFonts w:eastAsiaTheme="majorEastAsia" w:cstheme="minorHAnsi"/>
          <w:bCs/>
        </w:rPr>
        <w:t xml:space="preserve"> strategies implemented within their organizations to address inappropriate prescribing or dispensing of opioids. The </w:t>
      </w:r>
      <w:r w:rsidR="00CC02CA" w:rsidRPr="009607B9">
        <w:rPr>
          <w:rFonts w:eastAsiaTheme="majorEastAsia" w:cstheme="minorHAnsi"/>
          <w:bCs/>
        </w:rPr>
        <w:t xml:space="preserve">key </w:t>
      </w:r>
      <w:r w:rsidRPr="009607B9">
        <w:rPr>
          <w:rFonts w:eastAsiaTheme="majorEastAsia" w:cstheme="minorHAnsi"/>
          <w:bCs/>
        </w:rPr>
        <w:t xml:space="preserve">strategies below </w:t>
      </w:r>
      <w:r w:rsidR="00E733E3" w:rsidRPr="009607B9">
        <w:rPr>
          <w:rFonts w:eastAsiaTheme="majorEastAsia" w:cstheme="minorHAnsi"/>
          <w:bCs/>
          <w:noProof/>
        </w:rPr>
        <w:t>were</w:t>
      </w:r>
      <w:r w:rsidRPr="009607B9">
        <w:rPr>
          <w:rFonts w:eastAsiaTheme="majorEastAsia" w:cstheme="minorHAnsi"/>
          <w:bCs/>
          <w:noProof/>
        </w:rPr>
        <w:t xml:space="preserve"> identified</w:t>
      </w:r>
      <w:r w:rsidRPr="009607B9">
        <w:rPr>
          <w:rFonts w:eastAsiaTheme="majorEastAsia" w:cstheme="minorHAnsi"/>
          <w:bCs/>
        </w:rPr>
        <w:t xml:space="preserve"> that </w:t>
      </w:r>
      <w:r w:rsidRPr="00501E36">
        <w:rPr>
          <w:rFonts w:eastAsiaTheme="majorEastAsia" w:cstheme="minorHAnsi"/>
          <w:bCs/>
          <w:noProof/>
        </w:rPr>
        <w:t>payers</w:t>
      </w:r>
      <w:r w:rsidRPr="009607B9">
        <w:rPr>
          <w:rFonts w:eastAsiaTheme="majorEastAsia" w:cstheme="minorHAnsi"/>
          <w:bCs/>
        </w:rPr>
        <w:t xml:space="preserve"> </w:t>
      </w:r>
      <w:r w:rsidRPr="009607B9">
        <w:rPr>
          <w:rFonts w:eastAsiaTheme="majorEastAsia" w:cstheme="minorHAnsi"/>
          <w:bCs/>
          <w:noProof/>
        </w:rPr>
        <w:t>c</w:t>
      </w:r>
      <w:r w:rsidR="00046833" w:rsidRPr="009607B9">
        <w:rPr>
          <w:rFonts w:eastAsiaTheme="majorEastAsia" w:cstheme="minorHAnsi"/>
          <w:bCs/>
          <w:noProof/>
        </w:rPr>
        <w:t>ould</w:t>
      </w:r>
      <w:r w:rsidRPr="009607B9">
        <w:rPr>
          <w:rFonts w:eastAsiaTheme="majorEastAsia" w:cstheme="minorHAnsi"/>
          <w:bCs/>
        </w:rPr>
        <w:t xml:space="preserve"> implement to curtail the inappropriate prescribing and dispensing of opioid medications.  </w:t>
      </w:r>
    </w:p>
    <w:p w14:paraId="686C3DAF" w14:textId="0B6B859B" w:rsidR="00136843" w:rsidRPr="009607B9" w:rsidRDefault="00136843" w:rsidP="00374543">
      <w:pPr>
        <w:pStyle w:val="ListParagraph"/>
        <w:widowControl/>
        <w:numPr>
          <w:ilvl w:val="0"/>
          <w:numId w:val="2"/>
        </w:numPr>
        <w:spacing w:after="160" w:line="240" w:lineRule="auto"/>
        <w:rPr>
          <w:rFonts w:cstheme="minorHAnsi"/>
        </w:rPr>
      </w:pPr>
      <w:r w:rsidRPr="009607B9">
        <w:rPr>
          <w:rFonts w:cstheme="minorHAnsi"/>
        </w:rPr>
        <w:t>Manage formularies to control for abusive practices and reduce</w:t>
      </w:r>
      <w:r w:rsidR="008533C5" w:rsidRPr="009607B9">
        <w:rPr>
          <w:rFonts w:cstheme="minorHAnsi"/>
        </w:rPr>
        <w:t xml:space="preserve"> barriers to safer alternatives</w:t>
      </w:r>
    </w:p>
    <w:p w14:paraId="1B874D33" w14:textId="3CC3A88F" w:rsidR="00136843" w:rsidRPr="009607B9" w:rsidRDefault="00136843" w:rsidP="00374543">
      <w:pPr>
        <w:pStyle w:val="ListParagraph"/>
        <w:widowControl/>
        <w:numPr>
          <w:ilvl w:val="0"/>
          <w:numId w:val="2"/>
        </w:numPr>
        <w:spacing w:after="160" w:line="240" w:lineRule="auto"/>
        <w:rPr>
          <w:rFonts w:cstheme="minorHAnsi"/>
        </w:rPr>
      </w:pPr>
      <w:r w:rsidRPr="009607B9">
        <w:rPr>
          <w:rFonts w:cstheme="minorHAnsi"/>
        </w:rPr>
        <w:t xml:space="preserve">Engage with providers, and educate them about the risks of prescribing opioids, the best practices in providing care and managing treatment, and the value </w:t>
      </w:r>
      <w:r w:rsidR="008533C5" w:rsidRPr="009607B9">
        <w:rPr>
          <w:rFonts w:cstheme="minorHAnsi"/>
        </w:rPr>
        <w:t>of cross-provider communication</w:t>
      </w:r>
    </w:p>
    <w:p w14:paraId="30A96336" w14:textId="5F41DF5B" w:rsidR="00136843" w:rsidRPr="009607B9" w:rsidRDefault="00136843" w:rsidP="00374543">
      <w:pPr>
        <w:pStyle w:val="ListParagraph"/>
        <w:widowControl/>
        <w:numPr>
          <w:ilvl w:val="0"/>
          <w:numId w:val="2"/>
        </w:numPr>
        <w:spacing w:after="160" w:line="240" w:lineRule="auto"/>
        <w:rPr>
          <w:rFonts w:cstheme="minorHAnsi"/>
        </w:rPr>
      </w:pPr>
      <w:r w:rsidRPr="009607B9">
        <w:rPr>
          <w:rFonts w:cstheme="minorHAnsi"/>
        </w:rPr>
        <w:t>Engage with patients to inform them about the safe drug use and assess risk factors</w:t>
      </w:r>
      <w:r w:rsidR="008533C5" w:rsidRPr="009607B9">
        <w:rPr>
          <w:rFonts w:cstheme="minorHAnsi"/>
        </w:rPr>
        <w:t xml:space="preserve"> for opioid abuse</w:t>
      </w:r>
    </w:p>
    <w:p w14:paraId="6D4FE59B" w14:textId="66C15CED" w:rsidR="00136843" w:rsidRPr="009607B9" w:rsidRDefault="00136843" w:rsidP="00374543">
      <w:pPr>
        <w:pStyle w:val="ListParagraph"/>
        <w:widowControl/>
        <w:numPr>
          <w:ilvl w:val="0"/>
          <w:numId w:val="2"/>
        </w:numPr>
        <w:spacing w:after="160"/>
        <w:rPr>
          <w:rFonts w:cstheme="minorHAnsi"/>
        </w:rPr>
      </w:pPr>
      <w:r w:rsidRPr="009607B9">
        <w:rPr>
          <w:rFonts w:cstheme="minorHAnsi"/>
        </w:rPr>
        <w:t>Encourage use of safe alternatives to opioids such as non-opioid analgesics and</w:t>
      </w:r>
      <w:r w:rsidR="008533C5" w:rsidRPr="009607B9">
        <w:rPr>
          <w:rFonts w:cstheme="minorHAnsi"/>
        </w:rPr>
        <w:t xml:space="preserve"> non-pharmacological treatments</w:t>
      </w:r>
    </w:p>
    <w:p w14:paraId="2D286717" w14:textId="69DE16AB" w:rsidR="00136843" w:rsidRPr="009607B9" w:rsidRDefault="00136843" w:rsidP="00374543">
      <w:pPr>
        <w:pStyle w:val="ListParagraph"/>
        <w:widowControl/>
        <w:numPr>
          <w:ilvl w:val="0"/>
          <w:numId w:val="2"/>
        </w:numPr>
        <w:spacing w:after="0"/>
        <w:rPr>
          <w:rFonts w:cstheme="minorHAnsi"/>
        </w:rPr>
      </w:pPr>
      <w:r w:rsidRPr="009607B9">
        <w:rPr>
          <w:rFonts w:cstheme="minorHAnsi"/>
        </w:rPr>
        <w:t>Provide access to opioid abuse treatment interventions, such as Methadone or Buprenorphine regimens, inpatient or outpatient therapies, etc.</w:t>
      </w:r>
    </w:p>
    <w:p w14:paraId="0207B9E5" w14:textId="3844A0AB" w:rsidR="00136843" w:rsidRPr="009607B9" w:rsidRDefault="00136843" w:rsidP="00374543">
      <w:pPr>
        <w:pStyle w:val="ListParagraph"/>
        <w:widowControl/>
        <w:numPr>
          <w:ilvl w:val="0"/>
          <w:numId w:val="2"/>
        </w:numPr>
        <w:spacing w:after="0"/>
        <w:rPr>
          <w:rFonts w:cstheme="minorHAnsi"/>
        </w:rPr>
      </w:pPr>
      <w:r w:rsidRPr="009607B9">
        <w:rPr>
          <w:rFonts w:cstheme="minorHAnsi"/>
        </w:rPr>
        <w:t>Improve access to, and informa</w:t>
      </w:r>
      <w:r w:rsidR="008533C5" w:rsidRPr="009607B9">
        <w:rPr>
          <w:rFonts w:cstheme="minorHAnsi"/>
        </w:rPr>
        <w:t>tion about, Naloxone and Narcan</w:t>
      </w:r>
    </w:p>
    <w:p w14:paraId="7D73462D" w14:textId="2A8089F1" w:rsidR="00136843" w:rsidRPr="009607B9" w:rsidRDefault="00136843" w:rsidP="00374543">
      <w:pPr>
        <w:pStyle w:val="ListParagraph"/>
        <w:widowControl/>
        <w:numPr>
          <w:ilvl w:val="0"/>
          <w:numId w:val="2"/>
        </w:numPr>
        <w:spacing w:after="0"/>
        <w:rPr>
          <w:rFonts w:cstheme="minorHAnsi"/>
        </w:rPr>
      </w:pPr>
      <w:r w:rsidRPr="009607B9">
        <w:rPr>
          <w:rFonts w:cstheme="minorHAnsi"/>
        </w:rPr>
        <w:t>Build coalitions focused on identif</w:t>
      </w:r>
      <w:r w:rsidR="008533C5" w:rsidRPr="009607B9">
        <w:rPr>
          <w:rFonts w:cstheme="minorHAnsi"/>
        </w:rPr>
        <w:t>ying and implementing solutions</w:t>
      </w:r>
    </w:p>
    <w:p w14:paraId="4A583133" w14:textId="4550B687" w:rsidR="00136843" w:rsidRPr="009607B9" w:rsidRDefault="00136843" w:rsidP="00374543">
      <w:pPr>
        <w:pStyle w:val="ListParagraph"/>
        <w:widowControl/>
        <w:numPr>
          <w:ilvl w:val="0"/>
          <w:numId w:val="2"/>
        </w:numPr>
        <w:spacing w:after="0"/>
        <w:rPr>
          <w:rFonts w:cstheme="minorHAnsi"/>
        </w:rPr>
      </w:pPr>
      <w:r w:rsidRPr="009607B9">
        <w:rPr>
          <w:rFonts w:cstheme="minorHAnsi"/>
        </w:rPr>
        <w:t>Improve data sharing and utilization (e.g. encourag</w:t>
      </w:r>
      <w:r w:rsidR="00616C57" w:rsidRPr="009607B9">
        <w:rPr>
          <w:rFonts w:cstheme="minorHAnsi"/>
        </w:rPr>
        <w:t>e</w:t>
      </w:r>
      <w:r w:rsidRPr="009607B9">
        <w:rPr>
          <w:rFonts w:cstheme="minorHAnsi"/>
        </w:rPr>
        <w:t xml:space="preserve"> participation in and use of prescription drug monitoring </w:t>
      </w:r>
      <w:r w:rsidR="00336552" w:rsidRPr="009607B9">
        <w:rPr>
          <w:rFonts w:cstheme="minorHAnsi"/>
        </w:rPr>
        <w:t xml:space="preserve">programs’ </w:t>
      </w:r>
      <w:r w:rsidRPr="009607B9">
        <w:rPr>
          <w:rFonts w:cstheme="minorHAnsi"/>
        </w:rPr>
        <w:t>databases, c</w:t>
      </w:r>
      <w:r w:rsidR="008533C5" w:rsidRPr="009607B9">
        <w:rPr>
          <w:rFonts w:cstheme="minorHAnsi"/>
        </w:rPr>
        <w:t>onducting utilization reviews)</w:t>
      </w:r>
    </w:p>
    <w:p w14:paraId="34643DE1" w14:textId="6AC45717" w:rsidR="00136843" w:rsidRPr="009607B9" w:rsidRDefault="00136843" w:rsidP="00374543">
      <w:pPr>
        <w:pStyle w:val="ListParagraph"/>
        <w:widowControl/>
        <w:numPr>
          <w:ilvl w:val="0"/>
          <w:numId w:val="2"/>
        </w:numPr>
        <w:spacing w:after="160"/>
        <w:rPr>
          <w:rFonts w:cstheme="minorHAnsi"/>
        </w:rPr>
      </w:pPr>
      <w:r w:rsidRPr="009607B9">
        <w:rPr>
          <w:rFonts w:cstheme="minorHAnsi"/>
        </w:rPr>
        <w:t>Improve prescribing systems and monitoring processes (e.g. requir</w:t>
      </w:r>
      <w:r w:rsidR="00616C57" w:rsidRPr="009607B9">
        <w:rPr>
          <w:rFonts w:cstheme="minorHAnsi"/>
        </w:rPr>
        <w:t>e</w:t>
      </w:r>
      <w:r w:rsidRPr="009607B9">
        <w:rPr>
          <w:rFonts w:cstheme="minorHAnsi"/>
        </w:rPr>
        <w:t xml:space="preserve"> the use of electronic prescribing, implementing point of sale edits, limiting pres</w:t>
      </w:r>
      <w:r w:rsidR="008533C5" w:rsidRPr="009607B9">
        <w:rPr>
          <w:rFonts w:cstheme="minorHAnsi"/>
        </w:rPr>
        <w:t>cribing privileges when needed)</w:t>
      </w:r>
    </w:p>
    <w:p w14:paraId="29A41801" w14:textId="41CC6940" w:rsidR="008533C5" w:rsidRPr="009607B9" w:rsidRDefault="00136843" w:rsidP="00374543">
      <w:pPr>
        <w:pStyle w:val="ListParagraph"/>
        <w:widowControl/>
        <w:numPr>
          <w:ilvl w:val="0"/>
          <w:numId w:val="2"/>
        </w:numPr>
        <w:spacing w:after="0"/>
        <w:rPr>
          <w:rFonts w:cstheme="minorHAnsi"/>
        </w:rPr>
      </w:pPr>
      <w:r w:rsidRPr="009607B9">
        <w:rPr>
          <w:rFonts w:cstheme="minorHAnsi"/>
        </w:rPr>
        <w:lastRenderedPageBreak/>
        <w:t>Implement and streamline patient review</w:t>
      </w:r>
      <w:r w:rsidR="00336552" w:rsidRPr="009607B9">
        <w:rPr>
          <w:rFonts w:cstheme="minorHAnsi"/>
        </w:rPr>
        <w:t>, case management</w:t>
      </w:r>
      <w:r w:rsidRPr="009607B9">
        <w:rPr>
          <w:rFonts w:cstheme="minorHAnsi"/>
        </w:rPr>
        <w:t xml:space="preserve"> and restriction pr</w:t>
      </w:r>
      <w:r w:rsidR="008533C5" w:rsidRPr="009607B9">
        <w:rPr>
          <w:rFonts w:cstheme="minorHAnsi"/>
        </w:rPr>
        <w:t>ograms (aka “Lock-in” programs)</w:t>
      </w:r>
    </w:p>
    <w:p w14:paraId="59EE8BBF" w14:textId="77777777" w:rsidR="008533C5" w:rsidRPr="009607B9" w:rsidRDefault="008533C5" w:rsidP="008533C5">
      <w:pPr>
        <w:widowControl/>
        <w:spacing w:after="0"/>
        <w:ind w:left="360"/>
        <w:rPr>
          <w:rFonts w:cstheme="minorHAnsi"/>
        </w:rPr>
      </w:pPr>
    </w:p>
    <w:p w14:paraId="4C47F7A8" w14:textId="5EAC0327" w:rsidR="008533C5" w:rsidRPr="009351D7" w:rsidRDefault="009351D7" w:rsidP="008533C5">
      <w:pPr>
        <w:spacing w:after="0" w:line="240" w:lineRule="auto"/>
        <w:rPr>
          <w:rFonts w:eastAsiaTheme="majorEastAsia" w:cstheme="minorHAnsi"/>
          <w:b/>
          <w:bCs/>
          <w:color w:val="0070C0"/>
        </w:rPr>
      </w:pPr>
      <w:r>
        <w:rPr>
          <w:rFonts w:eastAsiaTheme="majorEastAsia" w:cstheme="minorHAnsi"/>
          <w:b/>
          <w:bCs/>
        </w:rPr>
        <w:t xml:space="preserve">HFPP  White Paper </w:t>
      </w:r>
      <w:r w:rsidR="008533C5" w:rsidRPr="009351D7">
        <w:rPr>
          <w:rFonts w:eastAsiaTheme="majorEastAsia" w:cstheme="minorHAnsi"/>
          <w:b/>
          <w:bCs/>
        </w:rPr>
        <w:t>Value Statements and Insights</w:t>
      </w:r>
    </w:p>
    <w:p w14:paraId="7FF4C756" w14:textId="77777777" w:rsidR="008533C5" w:rsidRPr="009607B9" w:rsidRDefault="008533C5" w:rsidP="00374543">
      <w:pPr>
        <w:pStyle w:val="ListParagraph"/>
        <w:numPr>
          <w:ilvl w:val="0"/>
          <w:numId w:val="3"/>
        </w:numPr>
        <w:spacing w:before="120" w:after="0" w:line="240" w:lineRule="auto"/>
        <w:ind w:right="144"/>
        <w:rPr>
          <w:rFonts w:eastAsiaTheme="majorEastAsia" w:cstheme="minorHAnsi"/>
          <w:bCs/>
        </w:rPr>
      </w:pPr>
      <w:r w:rsidRPr="009607B9">
        <w:rPr>
          <w:rFonts w:eastAsiaTheme="majorEastAsia" w:cstheme="minorHAnsi"/>
          <w:bCs/>
        </w:rPr>
        <w:t>Value Statement One: Improve Care and Outcomes. Encourage practices that connect patients to the level of care best suited for their needs and provide them the best possible outcome.</w:t>
      </w:r>
    </w:p>
    <w:p w14:paraId="3D9B30A0" w14:textId="77777777" w:rsidR="008533C5" w:rsidRPr="009607B9" w:rsidRDefault="008533C5" w:rsidP="00374543">
      <w:pPr>
        <w:pStyle w:val="ListParagraph"/>
        <w:numPr>
          <w:ilvl w:val="0"/>
          <w:numId w:val="3"/>
        </w:numPr>
        <w:spacing w:before="120" w:after="0" w:line="240" w:lineRule="auto"/>
        <w:ind w:right="144"/>
        <w:rPr>
          <w:rFonts w:eastAsiaTheme="majorEastAsia" w:cstheme="minorHAnsi"/>
          <w:bCs/>
        </w:rPr>
      </w:pPr>
      <w:r w:rsidRPr="009607B9">
        <w:rPr>
          <w:rFonts w:eastAsiaTheme="majorEastAsia" w:cstheme="minorHAnsi"/>
          <w:bCs/>
        </w:rPr>
        <w:t>Value Statement Two: Monitor and Control for Fraud, Waste, and Abuse. Inhibit inappropriate opioid use through the identification and mitigation of potentially fraudulent, abusive, or wasteful activities.</w:t>
      </w:r>
    </w:p>
    <w:p w14:paraId="48472458" w14:textId="4A1E3DB1" w:rsidR="008533C5" w:rsidRPr="009607B9" w:rsidRDefault="008533C5" w:rsidP="00374543">
      <w:pPr>
        <w:pStyle w:val="ListParagraph"/>
        <w:numPr>
          <w:ilvl w:val="0"/>
          <w:numId w:val="3"/>
        </w:numPr>
        <w:spacing w:before="120" w:after="0" w:line="240" w:lineRule="auto"/>
        <w:ind w:right="144"/>
        <w:rPr>
          <w:rFonts w:eastAsiaTheme="majorEastAsia" w:cstheme="minorHAnsi"/>
          <w:bCs/>
        </w:rPr>
      </w:pPr>
      <w:r w:rsidRPr="009607B9">
        <w:rPr>
          <w:rFonts w:eastAsiaTheme="majorEastAsia" w:cstheme="minorHAnsi"/>
          <w:bCs/>
        </w:rPr>
        <w:t>Value Statement Three: Promote Innovation and Information Sharing. Engage in innovative studies and information sharing techniques within the HFPP to identify and share effective opioid abuse mitigation strategies.</w:t>
      </w:r>
    </w:p>
    <w:p w14:paraId="32E99623" w14:textId="4EB9C854" w:rsidR="008533C5" w:rsidRPr="009607B9" w:rsidRDefault="008533C5" w:rsidP="008533C5">
      <w:pPr>
        <w:spacing w:before="120" w:after="0" w:line="240" w:lineRule="auto"/>
        <w:ind w:right="144"/>
        <w:rPr>
          <w:rFonts w:eastAsiaTheme="majorEastAsia" w:cstheme="minorHAnsi"/>
          <w:bCs/>
        </w:rPr>
      </w:pPr>
      <w:r w:rsidRPr="009607B9">
        <w:rPr>
          <w:rFonts w:eastAsiaTheme="majorEastAsia" w:cstheme="minorHAnsi"/>
          <w:bCs/>
        </w:rPr>
        <w:t>Note: Language discussed at the session may have been adjusted over the course of the development of and as a result of Partner comments on the HFPP Opioids Abuse White Paper.</w:t>
      </w:r>
    </w:p>
    <w:p w14:paraId="526A52F6" w14:textId="77777777" w:rsidR="009351D7" w:rsidRDefault="009351D7" w:rsidP="00C1650F">
      <w:pPr>
        <w:widowControl/>
        <w:spacing w:after="0"/>
        <w:rPr>
          <w:rFonts w:cstheme="minorHAnsi"/>
        </w:rPr>
      </w:pPr>
    </w:p>
    <w:p w14:paraId="407C4364" w14:textId="77777777" w:rsidR="00C1650F" w:rsidRPr="009607B9" w:rsidRDefault="00C1650F" w:rsidP="00C1650F">
      <w:pPr>
        <w:widowControl/>
        <w:spacing w:after="0"/>
        <w:rPr>
          <w:rFonts w:cstheme="minorHAnsi"/>
        </w:rPr>
      </w:pPr>
      <w:r w:rsidRPr="009607B9">
        <w:rPr>
          <w:rFonts w:eastAsiaTheme="majorEastAsia" w:cstheme="minorHAnsi"/>
          <w:b/>
          <w:bCs/>
          <w:color w:val="0070C0"/>
        </w:rPr>
        <w:t>Partner Perceived Value</w:t>
      </w:r>
    </w:p>
    <w:p w14:paraId="2C69499B" w14:textId="69A0A562" w:rsidR="00C1650F" w:rsidRPr="009607B9" w:rsidRDefault="00C1650F" w:rsidP="00C1650F">
      <w:pPr>
        <w:widowControl/>
        <w:spacing w:after="0"/>
        <w:rPr>
          <w:rFonts w:cstheme="minorHAnsi"/>
        </w:rPr>
      </w:pPr>
      <w:r w:rsidRPr="009607B9">
        <w:rPr>
          <w:rFonts w:cstheme="minorHAnsi"/>
        </w:rPr>
        <w:t>Marketplace attendees provided feedback through an assessment form at the conclusion of the session. The feedback obtained indicated many Partners are building their knowledge regarding the Marketplace. Overwhelmingly, the Partners reported the meeting objectives were met, and reflected high engagement and enthusiasm about the HFPP’s vision and strategy. Partners reported they were able to take away critical information from the session. Results from the assessment have shown that 24 attendees provided feedback and all of the respondents confirmed their organization would attend again.</w:t>
      </w:r>
    </w:p>
    <w:p w14:paraId="2C5E47AB" w14:textId="77777777" w:rsidR="00BC2874" w:rsidRPr="00BC2874" w:rsidRDefault="00BC2874" w:rsidP="00BC2874">
      <w:pPr>
        <w:spacing w:before="120" w:after="100" w:line="240" w:lineRule="auto"/>
        <w:rPr>
          <w:rFonts w:eastAsia="Arial" w:cstheme="minorHAnsi"/>
          <w:b/>
          <w:color w:val="1F497D" w:themeColor="text2"/>
        </w:rPr>
      </w:pPr>
      <w:r w:rsidRPr="00BC2874">
        <w:rPr>
          <w:rFonts w:eastAsia="Arial" w:cstheme="minorHAnsi"/>
          <w:b/>
          <w:color w:val="0070C0"/>
        </w:rPr>
        <w:t>Key Takeaways</w:t>
      </w:r>
    </w:p>
    <w:p w14:paraId="37F028A3" w14:textId="77777777" w:rsidR="00BC2874" w:rsidRPr="00BC2874" w:rsidRDefault="00BC2874" w:rsidP="00BC2874">
      <w:pPr>
        <w:spacing w:after="0" w:line="240" w:lineRule="auto"/>
        <w:rPr>
          <w:rFonts w:eastAsia="Times New Roman" w:cstheme="minorHAnsi"/>
          <w:bCs/>
        </w:rPr>
      </w:pPr>
      <w:r w:rsidRPr="00BC2874">
        <w:rPr>
          <w:rFonts w:eastAsia="Times New Roman" w:cstheme="minorHAnsi"/>
          <w:bCs/>
        </w:rPr>
        <w:t xml:space="preserve">Shantanu Agrawal encouraged Partners to continue sharing their thoughts and feedback on organizing themes around the HFPP White Paper and thanked attendees for their contributions. </w:t>
      </w:r>
    </w:p>
    <w:p w14:paraId="1353D3ED" w14:textId="77777777" w:rsidR="00BC2874" w:rsidRPr="00BC2874" w:rsidRDefault="00BC2874" w:rsidP="00BC2874">
      <w:pPr>
        <w:spacing w:after="0" w:line="240" w:lineRule="auto"/>
        <w:rPr>
          <w:rFonts w:eastAsia="Times New Roman" w:cstheme="minorHAnsi"/>
          <w:bCs/>
        </w:rPr>
      </w:pPr>
    </w:p>
    <w:p w14:paraId="6B6D5117" w14:textId="11F5F55B" w:rsidR="00C1650F" w:rsidRPr="009607B9" w:rsidRDefault="00BC2874" w:rsidP="00BC2874">
      <w:pPr>
        <w:widowControl/>
        <w:spacing w:after="0"/>
        <w:rPr>
          <w:rFonts w:cstheme="minorHAnsi"/>
        </w:rPr>
      </w:pPr>
      <w:r w:rsidRPr="009607B9">
        <w:rPr>
          <w:rFonts w:eastAsia="Times New Roman" w:cstheme="minorHAnsi"/>
          <w:bCs/>
        </w:rPr>
        <w:t xml:space="preserve">In closing, </w:t>
      </w:r>
      <w:r w:rsidRPr="009607B9">
        <w:rPr>
          <w:rFonts w:eastAsia="Calibri" w:cstheme="minorHAnsi"/>
        </w:rPr>
        <w:t xml:space="preserve">Merri-Ellen James, CPI, CMS, thanked Partners for their engagement, participation, and for their invaluable insights towards the culmination of the HFPP White Paper, which will further </w:t>
      </w:r>
      <w:r w:rsidRPr="009607B9">
        <w:rPr>
          <w:rFonts w:eastAsia="Calibri" w:cstheme="minorHAnsi"/>
          <w:noProof/>
        </w:rPr>
        <w:t>demonstrate</w:t>
      </w:r>
      <w:r w:rsidRPr="009607B9">
        <w:rPr>
          <w:rFonts w:eastAsia="Calibri" w:cstheme="minorHAnsi"/>
        </w:rPr>
        <w:t xml:space="preserve"> the value of the partnership’s collective efforts.</w:t>
      </w:r>
    </w:p>
    <w:p w14:paraId="30A34C13" w14:textId="77777777" w:rsidR="00C1650F" w:rsidRPr="009607B9" w:rsidRDefault="00C1650F" w:rsidP="00C1650F">
      <w:pPr>
        <w:widowControl/>
        <w:spacing w:after="0"/>
        <w:rPr>
          <w:rFonts w:cstheme="minorHAnsi"/>
        </w:rPr>
      </w:pPr>
    </w:p>
    <w:sectPr w:rsidR="00C1650F" w:rsidRPr="009607B9" w:rsidSect="00D344AB">
      <w:headerReference w:type="default" r:id="rId20"/>
      <w:footerReference w:type="default" r:id="rId21"/>
      <w:footerReference w:type="first" r:id="rId22"/>
      <w:pgSz w:w="12240" w:h="15840"/>
      <w:pgMar w:top="1440" w:right="1440" w:bottom="1440" w:left="1440" w:header="144" w:footer="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0E1D3" w15:done="0"/>
  <w15:commentEx w15:paraId="20E16E3B" w15:done="0"/>
  <w15:commentEx w15:paraId="1EE32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9AA60" w14:textId="77777777" w:rsidR="00D15040" w:rsidRDefault="00D15040">
      <w:pPr>
        <w:spacing w:after="0" w:line="240" w:lineRule="auto"/>
      </w:pPr>
      <w:r>
        <w:separator/>
      </w:r>
    </w:p>
  </w:endnote>
  <w:endnote w:type="continuationSeparator" w:id="0">
    <w:p w14:paraId="1A955CAC" w14:textId="77777777" w:rsidR="00D15040" w:rsidRDefault="00D15040">
      <w:pPr>
        <w:spacing w:after="0" w:line="240" w:lineRule="auto"/>
      </w:pPr>
      <w:r>
        <w:continuationSeparator/>
      </w:r>
    </w:p>
  </w:endnote>
  <w:endnote w:type="continuationNotice" w:id="1">
    <w:p w14:paraId="75EE4490" w14:textId="77777777" w:rsidR="00D15040" w:rsidRDefault="00D15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52E5" w14:textId="77777777" w:rsidR="003F58DE" w:rsidRDefault="003F58DE" w:rsidP="003F58DE">
    <w:pPr>
      <w:pStyle w:val="Footer"/>
      <w:jc w:val="right"/>
      <w:rPr>
        <w:b/>
        <w:bCs/>
        <w:sz w:val="24"/>
        <w:szCs w:val="24"/>
      </w:rPr>
    </w:pPr>
  </w:p>
  <w:p w14:paraId="25FFCF91" w14:textId="77777777" w:rsidR="003F58DE" w:rsidRDefault="003F58DE" w:rsidP="003F58DE">
    <w:pPr>
      <w:pBdr>
        <w:top w:val="single" w:sz="4" w:space="1" w:color="auto"/>
      </w:pBdr>
      <w:spacing w:after="60"/>
      <w:rPr>
        <w:iCs/>
        <w:sz w:val="20"/>
        <w:szCs w:val="16"/>
      </w:rPr>
    </w:pPr>
    <w:r>
      <w:rPr>
        <w:iCs/>
        <w:sz w:val="20"/>
        <w:szCs w:val="16"/>
      </w:rPr>
      <w:t>For Limited Distribution</w:t>
    </w:r>
  </w:p>
  <w:p w14:paraId="37B18704" w14:textId="61CAC63D" w:rsidR="00B049EF" w:rsidRDefault="003F58DE" w:rsidP="003F58DE">
    <w:pPr>
      <w:pStyle w:val="Footer"/>
      <w:rPr>
        <w:i/>
        <w:iCs/>
        <w:sz w:val="16"/>
        <w:szCs w:val="16"/>
      </w:rPr>
    </w:pPr>
    <w:r w:rsidRPr="005B1FDC">
      <w:rPr>
        <w:i/>
        <w:iCs/>
        <w:sz w:val="16"/>
        <w:szCs w:val="16"/>
      </w:rPr>
      <w:t>The following disclaimer applies: Regarding all Healthcare Fraud Prevention Partnership communications and activities, this is a purely voluntary activity</w:t>
    </w:r>
    <w:r>
      <w:rPr>
        <w:i/>
        <w:iCs/>
        <w:sz w:val="16"/>
        <w:szCs w:val="16"/>
      </w:rPr>
      <w:t xml:space="preserve">. </w:t>
    </w:r>
    <w:r w:rsidRPr="005B1FDC">
      <w:rPr>
        <w:i/>
        <w:iCs/>
        <w:sz w:val="16"/>
        <w:szCs w:val="16"/>
      </w:rPr>
      <w:t>The committees regarding data sharing and analysis; information sharing; and the Executive Board, are to be used solely as discussion groups where the individual members can share facts or information or individual input</w:t>
    </w:r>
    <w:r>
      <w:rPr>
        <w:i/>
        <w:iCs/>
        <w:sz w:val="16"/>
        <w:szCs w:val="16"/>
      </w:rPr>
      <w:t xml:space="preserve">. </w:t>
    </w:r>
    <w:r w:rsidRPr="005B1FDC">
      <w:rPr>
        <w:i/>
        <w:iCs/>
        <w:sz w:val="16"/>
        <w:szCs w:val="16"/>
      </w:rPr>
      <w:t xml:space="preserve">No group or consensus advice or recommendations will be given by the </w:t>
    </w:r>
    <w:r>
      <w:rPr>
        <w:i/>
        <w:iCs/>
        <w:sz w:val="16"/>
        <w:szCs w:val="16"/>
      </w:rPr>
      <w:t>P</w:t>
    </w:r>
    <w:r w:rsidRPr="005B1FDC">
      <w:rPr>
        <w:i/>
        <w:iCs/>
        <w:sz w:val="16"/>
        <w:szCs w:val="16"/>
      </w:rPr>
      <w:t>artners in the committees or the Executive Board</w:t>
    </w:r>
    <w:r>
      <w:rPr>
        <w:i/>
        <w:iCs/>
        <w:sz w:val="16"/>
        <w:szCs w:val="16"/>
      </w:rPr>
      <w:t xml:space="preserve">. </w:t>
    </w:r>
    <w:r w:rsidRPr="005B1FDC">
      <w:rPr>
        <w:i/>
        <w:iCs/>
        <w:sz w:val="16"/>
        <w:szCs w:val="16"/>
      </w:rPr>
      <w:t>In addition, no policy-making or decision-making will be performed by the committees or the Executive Board</w:t>
    </w:r>
    <w:r>
      <w:rPr>
        <w:i/>
        <w:iCs/>
        <w:sz w:val="16"/>
        <w:szCs w:val="16"/>
      </w:rPr>
      <w:t xml:space="preserve">. </w:t>
    </w:r>
    <w:r w:rsidRPr="005B1FDC">
      <w:rPr>
        <w:i/>
        <w:iCs/>
        <w:sz w:val="16"/>
        <w:szCs w:val="16"/>
      </w:rPr>
      <w:t>The Secretary and the Attorney General or their designees will make the final policies or other decisions.</w:t>
    </w:r>
  </w:p>
  <w:sdt>
    <w:sdtPr>
      <w:id w:val="1500925981"/>
      <w:docPartObj>
        <w:docPartGallery w:val="Page Numbers (Bottom of Page)"/>
        <w:docPartUnique/>
      </w:docPartObj>
    </w:sdtPr>
    <w:sdtEndPr/>
    <w:sdtContent>
      <w:sdt>
        <w:sdtPr>
          <w:id w:val="860082579"/>
          <w:docPartObj>
            <w:docPartGallery w:val="Page Numbers (Top of Page)"/>
            <w:docPartUnique/>
          </w:docPartObj>
        </w:sdtPr>
        <w:sdtEndPr/>
        <w:sdtContent>
          <w:p w14:paraId="252719B7" w14:textId="77777777" w:rsidR="003F58DE" w:rsidRDefault="003F58DE" w:rsidP="003F58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20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2090">
              <w:rPr>
                <w:b/>
                <w:bCs/>
                <w:noProof/>
              </w:rPr>
              <w:t>5</w:t>
            </w:r>
            <w:r>
              <w:rPr>
                <w:b/>
                <w:bCs/>
                <w:sz w:val="24"/>
                <w:szCs w:val="24"/>
              </w:rPr>
              <w:fldChar w:fldCharType="end"/>
            </w:r>
          </w:p>
        </w:sdtContent>
      </w:sdt>
    </w:sdtContent>
  </w:sdt>
  <w:p w14:paraId="46E04796" w14:textId="77777777" w:rsidR="003F58DE" w:rsidRPr="003F58DE" w:rsidRDefault="003F58DE" w:rsidP="003F5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7D110" w14:textId="406DCB9C" w:rsidR="00B049EF" w:rsidRDefault="00B049EF" w:rsidP="00547124">
    <w:pPr>
      <w:pStyle w:val="Footer"/>
      <w:pBdr>
        <w:top w:val="single" w:sz="4" w:space="1" w:color="auto"/>
      </w:pBdr>
      <w:tabs>
        <w:tab w:val="clear" w:pos="9360"/>
        <w:tab w:val="right" w:pos="9090"/>
      </w:tabs>
    </w:pPr>
    <w:r>
      <w:t>HFPP OCT 20 Special Session</w:t>
    </w:r>
    <w:r>
      <w:tab/>
    </w:r>
    <w:r>
      <w:tab/>
      <w:t>Executive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F0235" w14:textId="77777777" w:rsidR="00D15040" w:rsidRDefault="00D15040">
      <w:pPr>
        <w:spacing w:after="0" w:line="240" w:lineRule="auto"/>
      </w:pPr>
      <w:r>
        <w:separator/>
      </w:r>
    </w:p>
  </w:footnote>
  <w:footnote w:type="continuationSeparator" w:id="0">
    <w:p w14:paraId="7405B637" w14:textId="77777777" w:rsidR="00D15040" w:rsidRDefault="00D15040">
      <w:pPr>
        <w:spacing w:after="0" w:line="240" w:lineRule="auto"/>
      </w:pPr>
      <w:r>
        <w:continuationSeparator/>
      </w:r>
    </w:p>
  </w:footnote>
  <w:footnote w:type="continuationNotice" w:id="1">
    <w:p w14:paraId="31131D41" w14:textId="77777777" w:rsidR="00D15040" w:rsidRDefault="00D150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2528" w14:textId="173F9FDB" w:rsidR="00124B49" w:rsidRDefault="00124B49">
    <w:pPr>
      <w:pStyle w:val="Header"/>
    </w:pPr>
    <w:r>
      <w:rPr>
        <w:rFonts w:ascii="Arial" w:hAnsi="Arial" w:cs="Arial"/>
        <w:b/>
        <w:noProof/>
      </w:rPr>
      <w:drawing>
        <wp:anchor distT="0" distB="0" distL="114300" distR="114300" simplePos="0" relativeHeight="251659264" behindDoc="0" locked="0" layoutInCell="1" allowOverlap="1" wp14:anchorId="7EE45106" wp14:editId="098F14E7">
          <wp:simplePos x="0" y="0"/>
          <wp:positionH relativeFrom="column">
            <wp:posOffset>-457200</wp:posOffset>
          </wp:positionH>
          <wp:positionV relativeFrom="paragraph">
            <wp:posOffset>-81280</wp:posOffset>
          </wp:positionV>
          <wp:extent cx="7768590" cy="75184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PP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9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00B"/>
    <w:multiLevelType w:val="hybridMultilevel"/>
    <w:tmpl w:val="3F26FE28"/>
    <w:lvl w:ilvl="0" w:tplc="EE56FAC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28399C"/>
    <w:multiLevelType w:val="hybridMultilevel"/>
    <w:tmpl w:val="A20887D8"/>
    <w:lvl w:ilvl="0" w:tplc="EE56FAC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C33FE"/>
    <w:multiLevelType w:val="hybridMultilevel"/>
    <w:tmpl w:val="C44C2520"/>
    <w:lvl w:ilvl="0" w:tplc="EE56FAC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133D82"/>
    <w:multiLevelType w:val="hybridMultilevel"/>
    <w:tmpl w:val="D64A615E"/>
    <w:lvl w:ilvl="0" w:tplc="EE56FAC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6534B0"/>
    <w:multiLevelType w:val="hybridMultilevel"/>
    <w:tmpl w:val="473889B2"/>
    <w:lvl w:ilvl="0" w:tplc="EE56FAC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DC283C"/>
    <w:multiLevelType w:val="hybridMultilevel"/>
    <w:tmpl w:val="8B1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91E70"/>
    <w:multiLevelType w:val="hybridMultilevel"/>
    <w:tmpl w:val="B71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B4579"/>
    <w:multiLevelType w:val="hybridMultilevel"/>
    <w:tmpl w:val="008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765BA"/>
    <w:multiLevelType w:val="hybridMultilevel"/>
    <w:tmpl w:val="B85E7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E114F"/>
    <w:multiLevelType w:val="hybridMultilevel"/>
    <w:tmpl w:val="473889B2"/>
    <w:lvl w:ilvl="0" w:tplc="EE56FAC2">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9"/>
  </w:num>
  <w:num w:numId="8">
    <w:abstractNumId w:val="3"/>
  </w:num>
  <w:num w:numId="9">
    <w:abstractNumId w:val="4"/>
  </w:num>
  <w:num w:numId="10">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BANKS">
    <w15:presenceInfo w15:providerId="AD" w15:userId="S-1-5-21-4095628063-3556742122-3606576086-50469"/>
  </w15:person>
  <w15:person w15:author="Jean Stone">
    <w15:presenceInfo w15:providerId="AD" w15:userId="S-1-5-21-4095628063-3556742122-3606576086-6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S0NDA3NTawNDM2NjdR0lEKTi0uzszPAykwNKoFABC7cs4tAAAA"/>
  </w:docVars>
  <w:rsids>
    <w:rsidRoot w:val="00146326"/>
    <w:rsid w:val="00002008"/>
    <w:rsid w:val="00002066"/>
    <w:rsid w:val="00003146"/>
    <w:rsid w:val="00003895"/>
    <w:rsid w:val="00005871"/>
    <w:rsid w:val="000059A0"/>
    <w:rsid w:val="000059F2"/>
    <w:rsid w:val="00011B6F"/>
    <w:rsid w:val="000133CF"/>
    <w:rsid w:val="00014555"/>
    <w:rsid w:val="00014AF7"/>
    <w:rsid w:val="00014B59"/>
    <w:rsid w:val="00015338"/>
    <w:rsid w:val="00015BD6"/>
    <w:rsid w:val="00016A20"/>
    <w:rsid w:val="00017DF7"/>
    <w:rsid w:val="00017FCE"/>
    <w:rsid w:val="000209C8"/>
    <w:rsid w:val="0002149E"/>
    <w:rsid w:val="000221E0"/>
    <w:rsid w:val="00024486"/>
    <w:rsid w:val="0002475F"/>
    <w:rsid w:val="00024D87"/>
    <w:rsid w:val="000320B0"/>
    <w:rsid w:val="000323DA"/>
    <w:rsid w:val="00032EC4"/>
    <w:rsid w:val="00033808"/>
    <w:rsid w:val="000339DA"/>
    <w:rsid w:val="0003479A"/>
    <w:rsid w:val="00036AE1"/>
    <w:rsid w:val="00036B4A"/>
    <w:rsid w:val="0003729D"/>
    <w:rsid w:val="000411B4"/>
    <w:rsid w:val="00041F19"/>
    <w:rsid w:val="0004218A"/>
    <w:rsid w:val="0004305A"/>
    <w:rsid w:val="0004344A"/>
    <w:rsid w:val="00043C3A"/>
    <w:rsid w:val="0004404A"/>
    <w:rsid w:val="00044F37"/>
    <w:rsid w:val="00045176"/>
    <w:rsid w:val="000460AF"/>
    <w:rsid w:val="00046833"/>
    <w:rsid w:val="00046C29"/>
    <w:rsid w:val="000476B0"/>
    <w:rsid w:val="00050316"/>
    <w:rsid w:val="00050332"/>
    <w:rsid w:val="0005183B"/>
    <w:rsid w:val="00051F2E"/>
    <w:rsid w:val="000541AF"/>
    <w:rsid w:val="00055472"/>
    <w:rsid w:val="000556CE"/>
    <w:rsid w:val="00056BDA"/>
    <w:rsid w:val="00064ECB"/>
    <w:rsid w:val="000657C7"/>
    <w:rsid w:val="00067A9A"/>
    <w:rsid w:val="00070175"/>
    <w:rsid w:val="0007119A"/>
    <w:rsid w:val="0007245B"/>
    <w:rsid w:val="00072630"/>
    <w:rsid w:val="000733BA"/>
    <w:rsid w:val="0007425C"/>
    <w:rsid w:val="0008020E"/>
    <w:rsid w:val="00080C28"/>
    <w:rsid w:val="00082B83"/>
    <w:rsid w:val="00084854"/>
    <w:rsid w:val="00084BFA"/>
    <w:rsid w:val="00085550"/>
    <w:rsid w:val="00087749"/>
    <w:rsid w:val="000878F9"/>
    <w:rsid w:val="00092542"/>
    <w:rsid w:val="00093142"/>
    <w:rsid w:val="000947A2"/>
    <w:rsid w:val="000961FF"/>
    <w:rsid w:val="00096CD0"/>
    <w:rsid w:val="00097041"/>
    <w:rsid w:val="000975BD"/>
    <w:rsid w:val="000A090A"/>
    <w:rsid w:val="000A1A2D"/>
    <w:rsid w:val="000A3B6C"/>
    <w:rsid w:val="000A664D"/>
    <w:rsid w:val="000B33DA"/>
    <w:rsid w:val="000B3776"/>
    <w:rsid w:val="000B54E4"/>
    <w:rsid w:val="000B7AEC"/>
    <w:rsid w:val="000C1BFF"/>
    <w:rsid w:val="000C5268"/>
    <w:rsid w:val="000C5F12"/>
    <w:rsid w:val="000D10B3"/>
    <w:rsid w:val="000D1839"/>
    <w:rsid w:val="000D1A6F"/>
    <w:rsid w:val="000D33D1"/>
    <w:rsid w:val="000D45CE"/>
    <w:rsid w:val="000D48C9"/>
    <w:rsid w:val="000D642C"/>
    <w:rsid w:val="000D71FB"/>
    <w:rsid w:val="000D785E"/>
    <w:rsid w:val="000E0FAF"/>
    <w:rsid w:val="000E154A"/>
    <w:rsid w:val="000E273C"/>
    <w:rsid w:val="000E435F"/>
    <w:rsid w:val="000E5033"/>
    <w:rsid w:val="000E504E"/>
    <w:rsid w:val="000E68AE"/>
    <w:rsid w:val="000F19D1"/>
    <w:rsid w:val="000F493C"/>
    <w:rsid w:val="000F5399"/>
    <w:rsid w:val="000F53F7"/>
    <w:rsid w:val="000F5B42"/>
    <w:rsid w:val="000F5D52"/>
    <w:rsid w:val="000F5F92"/>
    <w:rsid w:val="000F7955"/>
    <w:rsid w:val="000F7D88"/>
    <w:rsid w:val="000F7FEB"/>
    <w:rsid w:val="001000F6"/>
    <w:rsid w:val="001005A9"/>
    <w:rsid w:val="00101C6D"/>
    <w:rsid w:val="00101D8B"/>
    <w:rsid w:val="001045E3"/>
    <w:rsid w:val="00104776"/>
    <w:rsid w:val="00106585"/>
    <w:rsid w:val="0010734C"/>
    <w:rsid w:val="0011094C"/>
    <w:rsid w:val="001116F3"/>
    <w:rsid w:val="001119C7"/>
    <w:rsid w:val="001128B6"/>
    <w:rsid w:val="00112910"/>
    <w:rsid w:val="00114FA6"/>
    <w:rsid w:val="00115915"/>
    <w:rsid w:val="00123C39"/>
    <w:rsid w:val="00124911"/>
    <w:rsid w:val="00124B49"/>
    <w:rsid w:val="00124E9C"/>
    <w:rsid w:val="00130AE1"/>
    <w:rsid w:val="00130E54"/>
    <w:rsid w:val="001310DE"/>
    <w:rsid w:val="001338B3"/>
    <w:rsid w:val="00134B3F"/>
    <w:rsid w:val="001350BC"/>
    <w:rsid w:val="00136843"/>
    <w:rsid w:val="001417F5"/>
    <w:rsid w:val="001422A2"/>
    <w:rsid w:val="001428A9"/>
    <w:rsid w:val="00142997"/>
    <w:rsid w:val="00144007"/>
    <w:rsid w:val="001445A6"/>
    <w:rsid w:val="00145E37"/>
    <w:rsid w:val="00146326"/>
    <w:rsid w:val="00147DCA"/>
    <w:rsid w:val="00150263"/>
    <w:rsid w:val="00150D3E"/>
    <w:rsid w:val="00153CC0"/>
    <w:rsid w:val="00156647"/>
    <w:rsid w:val="001604CB"/>
    <w:rsid w:val="00161112"/>
    <w:rsid w:val="001628CE"/>
    <w:rsid w:val="00162D2D"/>
    <w:rsid w:val="00170E8E"/>
    <w:rsid w:val="0017112B"/>
    <w:rsid w:val="001721AB"/>
    <w:rsid w:val="00173D12"/>
    <w:rsid w:val="00175D1B"/>
    <w:rsid w:val="001765B6"/>
    <w:rsid w:val="00176678"/>
    <w:rsid w:val="001766D9"/>
    <w:rsid w:val="00177635"/>
    <w:rsid w:val="0017767C"/>
    <w:rsid w:val="00182AA5"/>
    <w:rsid w:val="00183228"/>
    <w:rsid w:val="001834B3"/>
    <w:rsid w:val="00184228"/>
    <w:rsid w:val="00185737"/>
    <w:rsid w:val="00185B0C"/>
    <w:rsid w:val="00185DB7"/>
    <w:rsid w:val="00187CFB"/>
    <w:rsid w:val="00187D28"/>
    <w:rsid w:val="00190582"/>
    <w:rsid w:val="00192000"/>
    <w:rsid w:val="00194652"/>
    <w:rsid w:val="00194BAF"/>
    <w:rsid w:val="00194D92"/>
    <w:rsid w:val="00197222"/>
    <w:rsid w:val="001A21B8"/>
    <w:rsid w:val="001A246D"/>
    <w:rsid w:val="001A35C3"/>
    <w:rsid w:val="001A3E01"/>
    <w:rsid w:val="001A412E"/>
    <w:rsid w:val="001A4A47"/>
    <w:rsid w:val="001A50A4"/>
    <w:rsid w:val="001B43B7"/>
    <w:rsid w:val="001C2D75"/>
    <w:rsid w:val="001C5302"/>
    <w:rsid w:val="001C5DBF"/>
    <w:rsid w:val="001C61A4"/>
    <w:rsid w:val="001D0A9B"/>
    <w:rsid w:val="001D4806"/>
    <w:rsid w:val="001D48CA"/>
    <w:rsid w:val="001D5142"/>
    <w:rsid w:val="001D6FE2"/>
    <w:rsid w:val="001D7FDA"/>
    <w:rsid w:val="001E050A"/>
    <w:rsid w:val="001E14C9"/>
    <w:rsid w:val="001E22CA"/>
    <w:rsid w:val="001E3189"/>
    <w:rsid w:val="001E4104"/>
    <w:rsid w:val="001E6270"/>
    <w:rsid w:val="001F1157"/>
    <w:rsid w:val="001F11C9"/>
    <w:rsid w:val="001F1AE5"/>
    <w:rsid w:val="001F3049"/>
    <w:rsid w:val="001F45AC"/>
    <w:rsid w:val="001F4971"/>
    <w:rsid w:val="001F6691"/>
    <w:rsid w:val="001F7635"/>
    <w:rsid w:val="001F7796"/>
    <w:rsid w:val="0020319D"/>
    <w:rsid w:val="002079B3"/>
    <w:rsid w:val="00211953"/>
    <w:rsid w:val="002124EF"/>
    <w:rsid w:val="0021344F"/>
    <w:rsid w:val="002173C9"/>
    <w:rsid w:val="002216DB"/>
    <w:rsid w:val="00221D5C"/>
    <w:rsid w:val="00222B17"/>
    <w:rsid w:val="00223593"/>
    <w:rsid w:val="002251F9"/>
    <w:rsid w:val="00227706"/>
    <w:rsid w:val="002277AC"/>
    <w:rsid w:val="00227F97"/>
    <w:rsid w:val="00230502"/>
    <w:rsid w:val="00230996"/>
    <w:rsid w:val="00230F67"/>
    <w:rsid w:val="0023221B"/>
    <w:rsid w:val="002329E2"/>
    <w:rsid w:val="00232A94"/>
    <w:rsid w:val="00233442"/>
    <w:rsid w:val="00233DE7"/>
    <w:rsid w:val="002341F6"/>
    <w:rsid w:val="00235A69"/>
    <w:rsid w:val="00235C58"/>
    <w:rsid w:val="00236363"/>
    <w:rsid w:val="0024028B"/>
    <w:rsid w:val="002403A9"/>
    <w:rsid w:val="0024382F"/>
    <w:rsid w:val="00243D3C"/>
    <w:rsid w:val="00244299"/>
    <w:rsid w:val="00244746"/>
    <w:rsid w:val="002457E7"/>
    <w:rsid w:val="002464F4"/>
    <w:rsid w:val="0024650E"/>
    <w:rsid w:val="00247FB5"/>
    <w:rsid w:val="0025002B"/>
    <w:rsid w:val="0025010F"/>
    <w:rsid w:val="0025222E"/>
    <w:rsid w:val="00253907"/>
    <w:rsid w:val="00254DDB"/>
    <w:rsid w:val="00255433"/>
    <w:rsid w:val="00255AAE"/>
    <w:rsid w:val="00257001"/>
    <w:rsid w:val="00261277"/>
    <w:rsid w:val="00262CCD"/>
    <w:rsid w:val="0026471A"/>
    <w:rsid w:val="0026571C"/>
    <w:rsid w:val="00266A2E"/>
    <w:rsid w:val="002678FE"/>
    <w:rsid w:val="00267BFA"/>
    <w:rsid w:val="00270A6F"/>
    <w:rsid w:val="00273573"/>
    <w:rsid w:val="00273D9A"/>
    <w:rsid w:val="0027475D"/>
    <w:rsid w:val="00276B91"/>
    <w:rsid w:val="00276CB6"/>
    <w:rsid w:val="0028038C"/>
    <w:rsid w:val="002803AE"/>
    <w:rsid w:val="00280409"/>
    <w:rsid w:val="00282290"/>
    <w:rsid w:val="0028239C"/>
    <w:rsid w:val="002823F2"/>
    <w:rsid w:val="002824CB"/>
    <w:rsid w:val="00285592"/>
    <w:rsid w:val="00287BF9"/>
    <w:rsid w:val="00290838"/>
    <w:rsid w:val="00291A8B"/>
    <w:rsid w:val="00291BBC"/>
    <w:rsid w:val="00292738"/>
    <w:rsid w:val="00292F82"/>
    <w:rsid w:val="00296D16"/>
    <w:rsid w:val="002A2939"/>
    <w:rsid w:val="002A4375"/>
    <w:rsid w:val="002A49DE"/>
    <w:rsid w:val="002A6A47"/>
    <w:rsid w:val="002A6ABB"/>
    <w:rsid w:val="002B03A5"/>
    <w:rsid w:val="002B2BF5"/>
    <w:rsid w:val="002B3507"/>
    <w:rsid w:val="002B5B4C"/>
    <w:rsid w:val="002B6752"/>
    <w:rsid w:val="002B76AD"/>
    <w:rsid w:val="002C002E"/>
    <w:rsid w:val="002C144B"/>
    <w:rsid w:val="002C1669"/>
    <w:rsid w:val="002C264C"/>
    <w:rsid w:val="002C2771"/>
    <w:rsid w:val="002D53CF"/>
    <w:rsid w:val="002D5F1A"/>
    <w:rsid w:val="002E0073"/>
    <w:rsid w:val="002E0CEB"/>
    <w:rsid w:val="002E0D61"/>
    <w:rsid w:val="002E196D"/>
    <w:rsid w:val="002E1C90"/>
    <w:rsid w:val="002E3D9D"/>
    <w:rsid w:val="002E3EC1"/>
    <w:rsid w:val="002E4CDD"/>
    <w:rsid w:val="002E6A32"/>
    <w:rsid w:val="002E7093"/>
    <w:rsid w:val="002E71DE"/>
    <w:rsid w:val="002E766F"/>
    <w:rsid w:val="002E783A"/>
    <w:rsid w:val="002F0F6F"/>
    <w:rsid w:val="002F1993"/>
    <w:rsid w:val="002F1F20"/>
    <w:rsid w:val="002F2C8E"/>
    <w:rsid w:val="002F56DB"/>
    <w:rsid w:val="002F5AC6"/>
    <w:rsid w:val="0030071F"/>
    <w:rsid w:val="0030250C"/>
    <w:rsid w:val="00307635"/>
    <w:rsid w:val="0031151D"/>
    <w:rsid w:val="00311598"/>
    <w:rsid w:val="00312602"/>
    <w:rsid w:val="003139C9"/>
    <w:rsid w:val="00313CCB"/>
    <w:rsid w:val="003141CD"/>
    <w:rsid w:val="003150EF"/>
    <w:rsid w:val="003162E7"/>
    <w:rsid w:val="00321829"/>
    <w:rsid w:val="00323CE9"/>
    <w:rsid w:val="003248AC"/>
    <w:rsid w:val="0032640A"/>
    <w:rsid w:val="00330567"/>
    <w:rsid w:val="0033061B"/>
    <w:rsid w:val="00336552"/>
    <w:rsid w:val="00336712"/>
    <w:rsid w:val="003370A4"/>
    <w:rsid w:val="00340338"/>
    <w:rsid w:val="003432A7"/>
    <w:rsid w:val="003436A0"/>
    <w:rsid w:val="0034376B"/>
    <w:rsid w:val="00344B6D"/>
    <w:rsid w:val="0034599A"/>
    <w:rsid w:val="00351078"/>
    <w:rsid w:val="00352A76"/>
    <w:rsid w:val="00355C41"/>
    <w:rsid w:val="0035619B"/>
    <w:rsid w:val="00356233"/>
    <w:rsid w:val="0035629F"/>
    <w:rsid w:val="0035716E"/>
    <w:rsid w:val="0036178B"/>
    <w:rsid w:val="0036202B"/>
    <w:rsid w:val="00362D5E"/>
    <w:rsid w:val="003631F4"/>
    <w:rsid w:val="00367F8D"/>
    <w:rsid w:val="00372DA0"/>
    <w:rsid w:val="0037328E"/>
    <w:rsid w:val="003733EC"/>
    <w:rsid w:val="00374422"/>
    <w:rsid w:val="00374543"/>
    <w:rsid w:val="00375ABA"/>
    <w:rsid w:val="00377863"/>
    <w:rsid w:val="003779D0"/>
    <w:rsid w:val="00380438"/>
    <w:rsid w:val="003818A8"/>
    <w:rsid w:val="00382ECF"/>
    <w:rsid w:val="00384B18"/>
    <w:rsid w:val="0038534D"/>
    <w:rsid w:val="00385452"/>
    <w:rsid w:val="0038593B"/>
    <w:rsid w:val="00385DC6"/>
    <w:rsid w:val="0039103C"/>
    <w:rsid w:val="00391076"/>
    <w:rsid w:val="0039154F"/>
    <w:rsid w:val="00391C9A"/>
    <w:rsid w:val="00393A04"/>
    <w:rsid w:val="00393E0A"/>
    <w:rsid w:val="00394DA8"/>
    <w:rsid w:val="00395089"/>
    <w:rsid w:val="003950AA"/>
    <w:rsid w:val="003978D3"/>
    <w:rsid w:val="003A325F"/>
    <w:rsid w:val="003A3AAE"/>
    <w:rsid w:val="003A4754"/>
    <w:rsid w:val="003A4D57"/>
    <w:rsid w:val="003A66DC"/>
    <w:rsid w:val="003A7066"/>
    <w:rsid w:val="003B094A"/>
    <w:rsid w:val="003B2740"/>
    <w:rsid w:val="003B3FD0"/>
    <w:rsid w:val="003B5913"/>
    <w:rsid w:val="003B7C77"/>
    <w:rsid w:val="003C2677"/>
    <w:rsid w:val="003C3391"/>
    <w:rsid w:val="003C3511"/>
    <w:rsid w:val="003C3FE0"/>
    <w:rsid w:val="003C68A3"/>
    <w:rsid w:val="003C7262"/>
    <w:rsid w:val="003D0A11"/>
    <w:rsid w:val="003D2868"/>
    <w:rsid w:val="003D2A1D"/>
    <w:rsid w:val="003D2D3F"/>
    <w:rsid w:val="003D3903"/>
    <w:rsid w:val="003D3D35"/>
    <w:rsid w:val="003D4C03"/>
    <w:rsid w:val="003D651D"/>
    <w:rsid w:val="003D69F3"/>
    <w:rsid w:val="003D79C6"/>
    <w:rsid w:val="003E188D"/>
    <w:rsid w:val="003E19EE"/>
    <w:rsid w:val="003E2934"/>
    <w:rsid w:val="003E3C2A"/>
    <w:rsid w:val="003E5A36"/>
    <w:rsid w:val="003E7675"/>
    <w:rsid w:val="003E773E"/>
    <w:rsid w:val="003F0223"/>
    <w:rsid w:val="003F0C12"/>
    <w:rsid w:val="003F2F53"/>
    <w:rsid w:val="003F342F"/>
    <w:rsid w:val="003F3E75"/>
    <w:rsid w:val="003F52EB"/>
    <w:rsid w:val="003F58DE"/>
    <w:rsid w:val="003F616A"/>
    <w:rsid w:val="003F6CC2"/>
    <w:rsid w:val="00400103"/>
    <w:rsid w:val="00400540"/>
    <w:rsid w:val="00400682"/>
    <w:rsid w:val="0040080C"/>
    <w:rsid w:val="00400F35"/>
    <w:rsid w:val="0040122A"/>
    <w:rsid w:val="00402910"/>
    <w:rsid w:val="00412D55"/>
    <w:rsid w:val="00414145"/>
    <w:rsid w:val="00416001"/>
    <w:rsid w:val="004173EC"/>
    <w:rsid w:val="004211CF"/>
    <w:rsid w:val="004265A4"/>
    <w:rsid w:val="0042660A"/>
    <w:rsid w:val="00426A90"/>
    <w:rsid w:val="00426B91"/>
    <w:rsid w:val="0043077E"/>
    <w:rsid w:val="00431330"/>
    <w:rsid w:val="00431A9F"/>
    <w:rsid w:val="00432447"/>
    <w:rsid w:val="00433F39"/>
    <w:rsid w:val="004340E8"/>
    <w:rsid w:val="00435BCA"/>
    <w:rsid w:val="0043640F"/>
    <w:rsid w:val="00436795"/>
    <w:rsid w:val="00441A25"/>
    <w:rsid w:val="00441A94"/>
    <w:rsid w:val="00442E6D"/>
    <w:rsid w:val="00442EFA"/>
    <w:rsid w:val="0044447B"/>
    <w:rsid w:val="00444EB8"/>
    <w:rsid w:val="004461EC"/>
    <w:rsid w:val="00450BAB"/>
    <w:rsid w:val="004528C0"/>
    <w:rsid w:val="00453FD7"/>
    <w:rsid w:val="0045551B"/>
    <w:rsid w:val="004569B7"/>
    <w:rsid w:val="00457079"/>
    <w:rsid w:val="00460957"/>
    <w:rsid w:val="00461774"/>
    <w:rsid w:val="00462CFF"/>
    <w:rsid w:val="00464C71"/>
    <w:rsid w:val="004679F3"/>
    <w:rsid w:val="00472785"/>
    <w:rsid w:val="00472D4C"/>
    <w:rsid w:val="00472E68"/>
    <w:rsid w:val="00472FB9"/>
    <w:rsid w:val="00474179"/>
    <w:rsid w:val="00475943"/>
    <w:rsid w:val="004765DE"/>
    <w:rsid w:val="00483289"/>
    <w:rsid w:val="004835CB"/>
    <w:rsid w:val="00483AA3"/>
    <w:rsid w:val="004851F3"/>
    <w:rsid w:val="0048578F"/>
    <w:rsid w:val="00485C03"/>
    <w:rsid w:val="00485D1A"/>
    <w:rsid w:val="0048672F"/>
    <w:rsid w:val="00490DF7"/>
    <w:rsid w:val="0049235D"/>
    <w:rsid w:val="004932F0"/>
    <w:rsid w:val="00493D6A"/>
    <w:rsid w:val="004943EC"/>
    <w:rsid w:val="004946CE"/>
    <w:rsid w:val="0049501B"/>
    <w:rsid w:val="004963BC"/>
    <w:rsid w:val="00496601"/>
    <w:rsid w:val="004A07F5"/>
    <w:rsid w:val="004A0D86"/>
    <w:rsid w:val="004A15F2"/>
    <w:rsid w:val="004A3971"/>
    <w:rsid w:val="004A3A2C"/>
    <w:rsid w:val="004A6284"/>
    <w:rsid w:val="004A640A"/>
    <w:rsid w:val="004B02FC"/>
    <w:rsid w:val="004B0435"/>
    <w:rsid w:val="004B33FD"/>
    <w:rsid w:val="004B7618"/>
    <w:rsid w:val="004C0688"/>
    <w:rsid w:val="004C309A"/>
    <w:rsid w:val="004C3E88"/>
    <w:rsid w:val="004D01BE"/>
    <w:rsid w:val="004D0C3A"/>
    <w:rsid w:val="004D13B3"/>
    <w:rsid w:val="004D439B"/>
    <w:rsid w:val="004D5AFD"/>
    <w:rsid w:val="004D677F"/>
    <w:rsid w:val="004D7662"/>
    <w:rsid w:val="004E099F"/>
    <w:rsid w:val="004E1EE6"/>
    <w:rsid w:val="004E2EBA"/>
    <w:rsid w:val="004E4F64"/>
    <w:rsid w:val="004E5235"/>
    <w:rsid w:val="004E7031"/>
    <w:rsid w:val="004F2DED"/>
    <w:rsid w:val="004F35C1"/>
    <w:rsid w:val="004F3765"/>
    <w:rsid w:val="004F3E1C"/>
    <w:rsid w:val="004F4879"/>
    <w:rsid w:val="004F6207"/>
    <w:rsid w:val="004F7589"/>
    <w:rsid w:val="005000B7"/>
    <w:rsid w:val="00501550"/>
    <w:rsid w:val="00501631"/>
    <w:rsid w:val="00501E36"/>
    <w:rsid w:val="00501E9F"/>
    <w:rsid w:val="0050227D"/>
    <w:rsid w:val="00503C95"/>
    <w:rsid w:val="005043A7"/>
    <w:rsid w:val="0050441B"/>
    <w:rsid w:val="00505206"/>
    <w:rsid w:val="0050619C"/>
    <w:rsid w:val="00506797"/>
    <w:rsid w:val="0050756E"/>
    <w:rsid w:val="005077D2"/>
    <w:rsid w:val="005106FD"/>
    <w:rsid w:val="00516976"/>
    <w:rsid w:val="00516F0C"/>
    <w:rsid w:val="005176E7"/>
    <w:rsid w:val="00523381"/>
    <w:rsid w:val="0052446E"/>
    <w:rsid w:val="005245AC"/>
    <w:rsid w:val="00525570"/>
    <w:rsid w:val="00526444"/>
    <w:rsid w:val="00530969"/>
    <w:rsid w:val="005321A6"/>
    <w:rsid w:val="005343AD"/>
    <w:rsid w:val="005356BA"/>
    <w:rsid w:val="00535DA2"/>
    <w:rsid w:val="00540331"/>
    <w:rsid w:val="005458C1"/>
    <w:rsid w:val="005468D2"/>
    <w:rsid w:val="00547124"/>
    <w:rsid w:val="00550315"/>
    <w:rsid w:val="00554DFD"/>
    <w:rsid w:val="00555FFF"/>
    <w:rsid w:val="005566A3"/>
    <w:rsid w:val="0055776E"/>
    <w:rsid w:val="00561840"/>
    <w:rsid w:val="00561A2D"/>
    <w:rsid w:val="00562465"/>
    <w:rsid w:val="00563DDE"/>
    <w:rsid w:val="00564AEA"/>
    <w:rsid w:val="00564DEA"/>
    <w:rsid w:val="00565C48"/>
    <w:rsid w:val="00565C94"/>
    <w:rsid w:val="00566A20"/>
    <w:rsid w:val="0057105A"/>
    <w:rsid w:val="00571135"/>
    <w:rsid w:val="00571DBF"/>
    <w:rsid w:val="0057296B"/>
    <w:rsid w:val="00573F25"/>
    <w:rsid w:val="00574A35"/>
    <w:rsid w:val="00575DED"/>
    <w:rsid w:val="00575E65"/>
    <w:rsid w:val="00576DE2"/>
    <w:rsid w:val="00576E90"/>
    <w:rsid w:val="005771A6"/>
    <w:rsid w:val="00577C3B"/>
    <w:rsid w:val="005802A9"/>
    <w:rsid w:val="00581877"/>
    <w:rsid w:val="00581AE1"/>
    <w:rsid w:val="00582994"/>
    <w:rsid w:val="0058329E"/>
    <w:rsid w:val="00584C7E"/>
    <w:rsid w:val="00585A5C"/>
    <w:rsid w:val="00587326"/>
    <w:rsid w:val="005909CF"/>
    <w:rsid w:val="00592E51"/>
    <w:rsid w:val="005941C8"/>
    <w:rsid w:val="005947FA"/>
    <w:rsid w:val="00597A15"/>
    <w:rsid w:val="005A1423"/>
    <w:rsid w:val="005A21C5"/>
    <w:rsid w:val="005A2623"/>
    <w:rsid w:val="005A29A1"/>
    <w:rsid w:val="005A3150"/>
    <w:rsid w:val="005A3CAD"/>
    <w:rsid w:val="005A4AC7"/>
    <w:rsid w:val="005A4B2B"/>
    <w:rsid w:val="005A626D"/>
    <w:rsid w:val="005A6A1D"/>
    <w:rsid w:val="005B0AD5"/>
    <w:rsid w:val="005B0EEB"/>
    <w:rsid w:val="005B1F3D"/>
    <w:rsid w:val="005B24C3"/>
    <w:rsid w:val="005B29B4"/>
    <w:rsid w:val="005C09AF"/>
    <w:rsid w:val="005C440C"/>
    <w:rsid w:val="005C52DB"/>
    <w:rsid w:val="005C6141"/>
    <w:rsid w:val="005C65B7"/>
    <w:rsid w:val="005D1A6B"/>
    <w:rsid w:val="005D4104"/>
    <w:rsid w:val="005D504C"/>
    <w:rsid w:val="005D535E"/>
    <w:rsid w:val="005D6286"/>
    <w:rsid w:val="005E0159"/>
    <w:rsid w:val="005E0895"/>
    <w:rsid w:val="005E1396"/>
    <w:rsid w:val="005E381B"/>
    <w:rsid w:val="005E3AAE"/>
    <w:rsid w:val="005F0B0B"/>
    <w:rsid w:val="005F0BE1"/>
    <w:rsid w:val="005F330C"/>
    <w:rsid w:val="005F5B21"/>
    <w:rsid w:val="005F6E2F"/>
    <w:rsid w:val="00600044"/>
    <w:rsid w:val="006016B1"/>
    <w:rsid w:val="006016E9"/>
    <w:rsid w:val="00601894"/>
    <w:rsid w:val="00601CDD"/>
    <w:rsid w:val="00602DB1"/>
    <w:rsid w:val="00603082"/>
    <w:rsid w:val="00603D9B"/>
    <w:rsid w:val="00604AF3"/>
    <w:rsid w:val="006053FA"/>
    <w:rsid w:val="0060570E"/>
    <w:rsid w:val="006057AD"/>
    <w:rsid w:val="006058AA"/>
    <w:rsid w:val="00605EC8"/>
    <w:rsid w:val="00606AB3"/>
    <w:rsid w:val="00613310"/>
    <w:rsid w:val="00614738"/>
    <w:rsid w:val="00616C57"/>
    <w:rsid w:val="00616E35"/>
    <w:rsid w:val="00616F0F"/>
    <w:rsid w:val="00621025"/>
    <w:rsid w:val="0062168A"/>
    <w:rsid w:val="006218D5"/>
    <w:rsid w:val="006219F5"/>
    <w:rsid w:val="00621F33"/>
    <w:rsid w:val="006300CF"/>
    <w:rsid w:val="00630322"/>
    <w:rsid w:val="00635011"/>
    <w:rsid w:val="00636031"/>
    <w:rsid w:val="00636414"/>
    <w:rsid w:val="00636C62"/>
    <w:rsid w:val="00641A06"/>
    <w:rsid w:val="0064284B"/>
    <w:rsid w:val="00645ACD"/>
    <w:rsid w:val="00646F59"/>
    <w:rsid w:val="00647458"/>
    <w:rsid w:val="006624AF"/>
    <w:rsid w:val="00662C93"/>
    <w:rsid w:val="0066443B"/>
    <w:rsid w:val="006648C6"/>
    <w:rsid w:val="00666252"/>
    <w:rsid w:val="00666601"/>
    <w:rsid w:val="00670A72"/>
    <w:rsid w:val="00671FAB"/>
    <w:rsid w:val="006721A4"/>
    <w:rsid w:val="00672599"/>
    <w:rsid w:val="0067316E"/>
    <w:rsid w:val="00674246"/>
    <w:rsid w:val="006759C8"/>
    <w:rsid w:val="00676544"/>
    <w:rsid w:val="00680AFD"/>
    <w:rsid w:val="0068164D"/>
    <w:rsid w:val="00682005"/>
    <w:rsid w:val="00682355"/>
    <w:rsid w:val="006835F7"/>
    <w:rsid w:val="00685037"/>
    <w:rsid w:val="0068571D"/>
    <w:rsid w:val="00687956"/>
    <w:rsid w:val="0069095D"/>
    <w:rsid w:val="00691933"/>
    <w:rsid w:val="00692866"/>
    <w:rsid w:val="00693231"/>
    <w:rsid w:val="006940F4"/>
    <w:rsid w:val="006949C5"/>
    <w:rsid w:val="00695580"/>
    <w:rsid w:val="00696541"/>
    <w:rsid w:val="006A0361"/>
    <w:rsid w:val="006A19E3"/>
    <w:rsid w:val="006A32E9"/>
    <w:rsid w:val="006A6C77"/>
    <w:rsid w:val="006A7BCC"/>
    <w:rsid w:val="006B212D"/>
    <w:rsid w:val="006B26D9"/>
    <w:rsid w:val="006B4073"/>
    <w:rsid w:val="006B4A2D"/>
    <w:rsid w:val="006B7226"/>
    <w:rsid w:val="006B76BA"/>
    <w:rsid w:val="006B7F83"/>
    <w:rsid w:val="006C2307"/>
    <w:rsid w:val="006C2BE6"/>
    <w:rsid w:val="006C4DDA"/>
    <w:rsid w:val="006C52A8"/>
    <w:rsid w:val="006C5C7D"/>
    <w:rsid w:val="006D16E1"/>
    <w:rsid w:val="006D29B5"/>
    <w:rsid w:val="006D2EFB"/>
    <w:rsid w:val="006D3E94"/>
    <w:rsid w:val="006D63ED"/>
    <w:rsid w:val="006D6412"/>
    <w:rsid w:val="006D7272"/>
    <w:rsid w:val="006E135E"/>
    <w:rsid w:val="006E1B97"/>
    <w:rsid w:val="006E2680"/>
    <w:rsid w:val="006E2BD0"/>
    <w:rsid w:val="006E6992"/>
    <w:rsid w:val="006E7E61"/>
    <w:rsid w:val="006E7F87"/>
    <w:rsid w:val="006F098F"/>
    <w:rsid w:val="006F0B41"/>
    <w:rsid w:val="006F121C"/>
    <w:rsid w:val="006F2272"/>
    <w:rsid w:val="006F548A"/>
    <w:rsid w:val="006F5913"/>
    <w:rsid w:val="006F67AE"/>
    <w:rsid w:val="006F6AEB"/>
    <w:rsid w:val="007004EC"/>
    <w:rsid w:val="00700D94"/>
    <w:rsid w:val="00701580"/>
    <w:rsid w:val="00701BE1"/>
    <w:rsid w:val="0071124A"/>
    <w:rsid w:val="0071138A"/>
    <w:rsid w:val="007123F8"/>
    <w:rsid w:val="00715C7E"/>
    <w:rsid w:val="00716D32"/>
    <w:rsid w:val="0072107F"/>
    <w:rsid w:val="0072166C"/>
    <w:rsid w:val="00721B8A"/>
    <w:rsid w:val="007223D4"/>
    <w:rsid w:val="007225E5"/>
    <w:rsid w:val="00722C1F"/>
    <w:rsid w:val="00723198"/>
    <w:rsid w:val="00723443"/>
    <w:rsid w:val="007245A8"/>
    <w:rsid w:val="0073034F"/>
    <w:rsid w:val="0073079E"/>
    <w:rsid w:val="007310D9"/>
    <w:rsid w:val="00732656"/>
    <w:rsid w:val="00733009"/>
    <w:rsid w:val="0073352A"/>
    <w:rsid w:val="0073498B"/>
    <w:rsid w:val="007352B0"/>
    <w:rsid w:val="007352ED"/>
    <w:rsid w:val="00735857"/>
    <w:rsid w:val="0073747E"/>
    <w:rsid w:val="007409B5"/>
    <w:rsid w:val="00742D49"/>
    <w:rsid w:val="00744B89"/>
    <w:rsid w:val="007469A7"/>
    <w:rsid w:val="00747031"/>
    <w:rsid w:val="00751CBF"/>
    <w:rsid w:val="0075338A"/>
    <w:rsid w:val="00753777"/>
    <w:rsid w:val="00754E0E"/>
    <w:rsid w:val="00754E34"/>
    <w:rsid w:val="00754F5D"/>
    <w:rsid w:val="00755298"/>
    <w:rsid w:val="00757537"/>
    <w:rsid w:val="0076007C"/>
    <w:rsid w:val="00760500"/>
    <w:rsid w:val="00760A16"/>
    <w:rsid w:val="00763E3A"/>
    <w:rsid w:val="0076440F"/>
    <w:rsid w:val="00764A29"/>
    <w:rsid w:val="00765FDC"/>
    <w:rsid w:val="00766805"/>
    <w:rsid w:val="007700E5"/>
    <w:rsid w:val="00770EDE"/>
    <w:rsid w:val="007726AC"/>
    <w:rsid w:val="007729D7"/>
    <w:rsid w:val="007731FC"/>
    <w:rsid w:val="00775D5B"/>
    <w:rsid w:val="00776A73"/>
    <w:rsid w:val="00777C30"/>
    <w:rsid w:val="0078169D"/>
    <w:rsid w:val="00783208"/>
    <w:rsid w:val="00784448"/>
    <w:rsid w:val="00784FC3"/>
    <w:rsid w:val="00785EF8"/>
    <w:rsid w:val="00785FAA"/>
    <w:rsid w:val="007866E6"/>
    <w:rsid w:val="00787FC3"/>
    <w:rsid w:val="007903FC"/>
    <w:rsid w:val="007907C5"/>
    <w:rsid w:val="0079167F"/>
    <w:rsid w:val="00791CAA"/>
    <w:rsid w:val="0079359D"/>
    <w:rsid w:val="007947AC"/>
    <w:rsid w:val="00794AE4"/>
    <w:rsid w:val="0079660C"/>
    <w:rsid w:val="00797504"/>
    <w:rsid w:val="007A403C"/>
    <w:rsid w:val="007A4B39"/>
    <w:rsid w:val="007A50D8"/>
    <w:rsid w:val="007A5EED"/>
    <w:rsid w:val="007A68D6"/>
    <w:rsid w:val="007A6DE2"/>
    <w:rsid w:val="007A6EE8"/>
    <w:rsid w:val="007A7521"/>
    <w:rsid w:val="007B2502"/>
    <w:rsid w:val="007B35F3"/>
    <w:rsid w:val="007B56CE"/>
    <w:rsid w:val="007B6745"/>
    <w:rsid w:val="007C1261"/>
    <w:rsid w:val="007C142C"/>
    <w:rsid w:val="007C4FA4"/>
    <w:rsid w:val="007C5DBE"/>
    <w:rsid w:val="007C5ED3"/>
    <w:rsid w:val="007C61F9"/>
    <w:rsid w:val="007C6E57"/>
    <w:rsid w:val="007C797D"/>
    <w:rsid w:val="007D0F81"/>
    <w:rsid w:val="007D2119"/>
    <w:rsid w:val="007D38E2"/>
    <w:rsid w:val="007D772D"/>
    <w:rsid w:val="007D7D00"/>
    <w:rsid w:val="007E2525"/>
    <w:rsid w:val="007E37A3"/>
    <w:rsid w:val="007E3845"/>
    <w:rsid w:val="007E5DE1"/>
    <w:rsid w:val="007F09D5"/>
    <w:rsid w:val="007F3108"/>
    <w:rsid w:val="007F3502"/>
    <w:rsid w:val="007F450B"/>
    <w:rsid w:val="007F4F72"/>
    <w:rsid w:val="007F594A"/>
    <w:rsid w:val="007F6D51"/>
    <w:rsid w:val="0080106C"/>
    <w:rsid w:val="0080120C"/>
    <w:rsid w:val="00802C44"/>
    <w:rsid w:val="008044F7"/>
    <w:rsid w:val="00804D49"/>
    <w:rsid w:val="008057B9"/>
    <w:rsid w:val="00805B0F"/>
    <w:rsid w:val="00806F93"/>
    <w:rsid w:val="00807823"/>
    <w:rsid w:val="0080787E"/>
    <w:rsid w:val="00807937"/>
    <w:rsid w:val="0081149B"/>
    <w:rsid w:val="008122B3"/>
    <w:rsid w:val="00812AE9"/>
    <w:rsid w:val="00814D84"/>
    <w:rsid w:val="00816826"/>
    <w:rsid w:val="00816836"/>
    <w:rsid w:val="008171B4"/>
    <w:rsid w:val="00817C5B"/>
    <w:rsid w:val="0082142B"/>
    <w:rsid w:val="00821E62"/>
    <w:rsid w:val="00824AB6"/>
    <w:rsid w:val="00827ABC"/>
    <w:rsid w:val="00831534"/>
    <w:rsid w:val="008319F0"/>
    <w:rsid w:val="008329BD"/>
    <w:rsid w:val="008335D9"/>
    <w:rsid w:val="00833BCB"/>
    <w:rsid w:val="00834817"/>
    <w:rsid w:val="00835487"/>
    <w:rsid w:val="008359ED"/>
    <w:rsid w:val="00836651"/>
    <w:rsid w:val="00836D0C"/>
    <w:rsid w:val="0084029C"/>
    <w:rsid w:val="008427CA"/>
    <w:rsid w:val="00842C06"/>
    <w:rsid w:val="008435B1"/>
    <w:rsid w:val="00846B17"/>
    <w:rsid w:val="008508B4"/>
    <w:rsid w:val="00850E66"/>
    <w:rsid w:val="00850FC8"/>
    <w:rsid w:val="00851E82"/>
    <w:rsid w:val="00852DEE"/>
    <w:rsid w:val="008533C5"/>
    <w:rsid w:val="00855AD3"/>
    <w:rsid w:val="00855E09"/>
    <w:rsid w:val="00857D17"/>
    <w:rsid w:val="00862681"/>
    <w:rsid w:val="008628D6"/>
    <w:rsid w:val="00862EBB"/>
    <w:rsid w:val="00867646"/>
    <w:rsid w:val="008704AC"/>
    <w:rsid w:val="00871200"/>
    <w:rsid w:val="008745D7"/>
    <w:rsid w:val="008745F1"/>
    <w:rsid w:val="00875A3E"/>
    <w:rsid w:val="00876798"/>
    <w:rsid w:val="00876E6D"/>
    <w:rsid w:val="0087733D"/>
    <w:rsid w:val="00880048"/>
    <w:rsid w:val="00880934"/>
    <w:rsid w:val="00881436"/>
    <w:rsid w:val="0088194E"/>
    <w:rsid w:val="00882E09"/>
    <w:rsid w:val="00885A5D"/>
    <w:rsid w:val="00886A94"/>
    <w:rsid w:val="00887BF4"/>
    <w:rsid w:val="00893A57"/>
    <w:rsid w:val="0089613D"/>
    <w:rsid w:val="00896385"/>
    <w:rsid w:val="0089733D"/>
    <w:rsid w:val="00897691"/>
    <w:rsid w:val="00897B70"/>
    <w:rsid w:val="008A04A2"/>
    <w:rsid w:val="008A0F22"/>
    <w:rsid w:val="008A271A"/>
    <w:rsid w:val="008A4079"/>
    <w:rsid w:val="008A44D7"/>
    <w:rsid w:val="008A5CE9"/>
    <w:rsid w:val="008A6113"/>
    <w:rsid w:val="008A62C8"/>
    <w:rsid w:val="008A75E8"/>
    <w:rsid w:val="008A7D0F"/>
    <w:rsid w:val="008B099D"/>
    <w:rsid w:val="008B1B8B"/>
    <w:rsid w:val="008B239B"/>
    <w:rsid w:val="008B346A"/>
    <w:rsid w:val="008B4607"/>
    <w:rsid w:val="008B5213"/>
    <w:rsid w:val="008B52C4"/>
    <w:rsid w:val="008B57B6"/>
    <w:rsid w:val="008B5E35"/>
    <w:rsid w:val="008B6526"/>
    <w:rsid w:val="008B66A2"/>
    <w:rsid w:val="008B7589"/>
    <w:rsid w:val="008C2C63"/>
    <w:rsid w:val="008C6B08"/>
    <w:rsid w:val="008C6E84"/>
    <w:rsid w:val="008C70E5"/>
    <w:rsid w:val="008C73F3"/>
    <w:rsid w:val="008D01FB"/>
    <w:rsid w:val="008D041D"/>
    <w:rsid w:val="008D0A03"/>
    <w:rsid w:val="008D0C22"/>
    <w:rsid w:val="008D13DC"/>
    <w:rsid w:val="008D3E46"/>
    <w:rsid w:val="008D430E"/>
    <w:rsid w:val="008E0951"/>
    <w:rsid w:val="008E1A89"/>
    <w:rsid w:val="008E2408"/>
    <w:rsid w:val="008E26C7"/>
    <w:rsid w:val="008E5BB2"/>
    <w:rsid w:val="008E6DAB"/>
    <w:rsid w:val="008E7734"/>
    <w:rsid w:val="008F1F6B"/>
    <w:rsid w:val="008F20F1"/>
    <w:rsid w:val="008F21BA"/>
    <w:rsid w:val="008F21CF"/>
    <w:rsid w:val="008F3FC3"/>
    <w:rsid w:val="008F44AF"/>
    <w:rsid w:val="008F4A62"/>
    <w:rsid w:val="008F4CFB"/>
    <w:rsid w:val="008F57FD"/>
    <w:rsid w:val="008F5F26"/>
    <w:rsid w:val="008F6002"/>
    <w:rsid w:val="008F7A51"/>
    <w:rsid w:val="0090083D"/>
    <w:rsid w:val="0090088C"/>
    <w:rsid w:val="0090139E"/>
    <w:rsid w:val="00901DC1"/>
    <w:rsid w:val="00901ECD"/>
    <w:rsid w:val="00902276"/>
    <w:rsid w:val="00902B18"/>
    <w:rsid w:val="009055D9"/>
    <w:rsid w:val="009057AD"/>
    <w:rsid w:val="00906482"/>
    <w:rsid w:val="00910804"/>
    <w:rsid w:val="0091095F"/>
    <w:rsid w:val="00912D63"/>
    <w:rsid w:val="00913565"/>
    <w:rsid w:val="00914CD3"/>
    <w:rsid w:val="00914D7D"/>
    <w:rsid w:val="0091514F"/>
    <w:rsid w:val="00915458"/>
    <w:rsid w:val="009164FF"/>
    <w:rsid w:val="009175B1"/>
    <w:rsid w:val="00920459"/>
    <w:rsid w:val="00922103"/>
    <w:rsid w:val="009241EF"/>
    <w:rsid w:val="00924ABE"/>
    <w:rsid w:val="009272DD"/>
    <w:rsid w:val="00927BD1"/>
    <w:rsid w:val="00933C0A"/>
    <w:rsid w:val="0093459C"/>
    <w:rsid w:val="00934D0A"/>
    <w:rsid w:val="009351D7"/>
    <w:rsid w:val="00937280"/>
    <w:rsid w:val="0094173F"/>
    <w:rsid w:val="00944153"/>
    <w:rsid w:val="00945F07"/>
    <w:rsid w:val="00946C6D"/>
    <w:rsid w:val="00947847"/>
    <w:rsid w:val="00951685"/>
    <w:rsid w:val="009523BE"/>
    <w:rsid w:val="00953436"/>
    <w:rsid w:val="0095352A"/>
    <w:rsid w:val="009536F2"/>
    <w:rsid w:val="00953B99"/>
    <w:rsid w:val="00955975"/>
    <w:rsid w:val="00956081"/>
    <w:rsid w:val="009564AB"/>
    <w:rsid w:val="00957675"/>
    <w:rsid w:val="009578D4"/>
    <w:rsid w:val="009607B9"/>
    <w:rsid w:val="00961ADA"/>
    <w:rsid w:val="00962C45"/>
    <w:rsid w:val="009630BD"/>
    <w:rsid w:val="00965F95"/>
    <w:rsid w:val="00967208"/>
    <w:rsid w:val="0096779B"/>
    <w:rsid w:val="00973D30"/>
    <w:rsid w:val="00973D73"/>
    <w:rsid w:val="00974C79"/>
    <w:rsid w:val="0097535A"/>
    <w:rsid w:val="009759FD"/>
    <w:rsid w:val="00976A5B"/>
    <w:rsid w:val="00977257"/>
    <w:rsid w:val="00977B58"/>
    <w:rsid w:val="009803A9"/>
    <w:rsid w:val="00982A50"/>
    <w:rsid w:val="00985696"/>
    <w:rsid w:val="0098595D"/>
    <w:rsid w:val="00986C3A"/>
    <w:rsid w:val="009877E8"/>
    <w:rsid w:val="00987874"/>
    <w:rsid w:val="00990BC2"/>
    <w:rsid w:val="00991BA8"/>
    <w:rsid w:val="00991CC6"/>
    <w:rsid w:val="00994280"/>
    <w:rsid w:val="0099477E"/>
    <w:rsid w:val="00994C83"/>
    <w:rsid w:val="009956A8"/>
    <w:rsid w:val="00996F73"/>
    <w:rsid w:val="009A11F0"/>
    <w:rsid w:val="009A1461"/>
    <w:rsid w:val="009A2374"/>
    <w:rsid w:val="009A2E45"/>
    <w:rsid w:val="009A45DD"/>
    <w:rsid w:val="009A471C"/>
    <w:rsid w:val="009A65E5"/>
    <w:rsid w:val="009A6604"/>
    <w:rsid w:val="009A6631"/>
    <w:rsid w:val="009A6D8B"/>
    <w:rsid w:val="009A7965"/>
    <w:rsid w:val="009B257C"/>
    <w:rsid w:val="009B2726"/>
    <w:rsid w:val="009B565B"/>
    <w:rsid w:val="009B5EF2"/>
    <w:rsid w:val="009B7288"/>
    <w:rsid w:val="009B76B6"/>
    <w:rsid w:val="009C0DBA"/>
    <w:rsid w:val="009C278E"/>
    <w:rsid w:val="009C3CA6"/>
    <w:rsid w:val="009C5335"/>
    <w:rsid w:val="009C5554"/>
    <w:rsid w:val="009C6304"/>
    <w:rsid w:val="009D2086"/>
    <w:rsid w:val="009D3E19"/>
    <w:rsid w:val="009D4730"/>
    <w:rsid w:val="009D4A3A"/>
    <w:rsid w:val="009D5A11"/>
    <w:rsid w:val="009D5A53"/>
    <w:rsid w:val="009E0224"/>
    <w:rsid w:val="009E061A"/>
    <w:rsid w:val="009E08DD"/>
    <w:rsid w:val="009E1177"/>
    <w:rsid w:val="009E149D"/>
    <w:rsid w:val="009E426D"/>
    <w:rsid w:val="009E572F"/>
    <w:rsid w:val="009E64FD"/>
    <w:rsid w:val="009F22A3"/>
    <w:rsid w:val="009F336C"/>
    <w:rsid w:val="009F6F17"/>
    <w:rsid w:val="009F70DC"/>
    <w:rsid w:val="00A01274"/>
    <w:rsid w:val="00A02A65"/>
    <w:rsid w:val="00A0363F"/>
    <w:rsid w:val="00A05A20"/>
    <w:rsid w:val="00A066AE"/>
    <w:rsid w:val="00A11127"/>
    <w:rsid w:val="00A111ED"/>
    <w:rsid w:val="00A147AD"/>
    <w:rsid w:val="00A14A3F"/>
    <w:rsid w:val="00A163C3"/>
    <w:rsid w:val="00A20146"/>
    <w:rsid w:val="00A2151E"/>
    <w:rsid w:val="00A2191D"/>
    <w:rsid w:val="00A23D97"/>
    <w:rsid w:val="00A27E0D"/>
    <w:rsid w:val="00A34045"/>
    <w:rsid w:val="00A3518B"/>
    <w:rsid w:val="00A35518"/>
    <w:rsid w:val="00A35E05"/>
    <w:rsid w:val="00A369F4"/>
    <w:rsid w:val="00A36FF3"/>
    <w:rsid w:val="00A377AC"/>
    <w:rsid w:val="00A37FB1"/>
    <w:rsid w:val="00A40354"/>
    <w:rsid w:val="00A403B6"/>
    <w:rsid w:val="00A42377"/>
    <w:rsid w:val="00A4245E"/>
    <w:rsid w:val="00A44D8A"/>
    <w:rsid w:val="00A450C2"/>
    <w:rsid w:val="00A470EB"/>
    <w:rsid w:val="00A47CBF"/>
    <w:rsid w:val="00A47E09"/>
    <w:rsid w:val="00A5175C"/>
    <w:rsid w:val="00A517AA"/>
    <w:rsid w:val="00A5227D"/>
    <w:rsid w:val="00A52CFF"/>
    <w:rsid w:val="00A52D3E"/>
    <w:rsid w:val="00A54AFF"/>
    <w:rsid w:val="00A54E0B"/>
    <w:rsid w:val="00A57B3D"/>
    <w:rsid w:val="00A60124"/>
    <w:rsid w:val="00A60219"/>
    <w:rsid w:val="00A61161"/>
    <w:rsid w:val="00A62F4C"/>
    <w:rsid w:val="00A63124"/>
    <w:rsid w:val="00A63307"/>
    <w:rsid w:val="00A64285"/>
    <w:rsid w:val="00A6467D"/>
    <w:rsid w:val="00A6469B"/>
    <w:rsid w:val="00A65121"/>
    <w:rsid w:val="00A66D94"/>
    <w:rsid w:val="00A67B97"/>
    <w:rsid w:val="00A7012E"/>
    <w:rsid w:val="00A71B63"/>
    <w:rsid w:val="00A7306E"/>
    <w:rsid w:val="00A74124"/>
    <w:rsid w:val="00A7547B"/>
    <w:rsid w:val="00A7594C"/>
    <w:rsid w:val="00A77DF7"/>
    <w:rsid w:val="00A81169"/>
    <w:rsid w:val="00A815A5"/>
    <w:rsid w:val="00A81D9E"/>
    <w:rsid w:val="00A82587"/>
    <w:rsid w:val="00A830C9"/>
    <w:rsid w:val="00A86288"/>
    <w:rsid w:val="00A86F39"/>
    <w:rsid w:val="00A87EFB"/>
    <w:rsid w:val="00A90605"/>
    <w:rsid w:val="00A91DEF"/>
    <w:rsid w:val="00A920CD"/>
    <w:rsid w:val="00A921DD"/>
    <w:rsid w:val="00A936E3"/>
    <w:rsid w:val="00A9370F"/>
    <w:rsid w:val="00A94326"/>
    <w:rsid w:val="00A944AA"/>
    <w:rsid w:val="00A94C21"/>
    <w:rsid w:val="00AA2712"/>
    <w:rsid w:val="00AA589C"/>
    <w:rsid w:val="00AA5DBC"/>
    <w:rsid w:val="00AA7AED"/>
    <w:rsid w:val="00AB14CF"/>
    <w:rsid w:val="00AB1A62"/>
    <w:rsid w:val="00AB1D86"/>
    <w:rsid w:val="00AB37B3"/>
    <w:rsid w:val="00AB3E57"/>
    <w:rsid w:val="00AB487F"/>
    <w:rsid w:val="00AB4AD0"/>
    <w:rsid w:val="00AB4C53"/>
    <w:rsid w:val="00AB4CA2"/>
    <w:rsid w:val="00AB57D5"/>
    <w:rsid w:val="00AB5F0D"/>
    <w:rsid w:val="00AC2C0F"/>
    <w:rsid w:val="00AC3B87"/>
    <w:rsid w:val="00AC40C1"/>
    <w:rsid w:val="00AC59A3"/>
    <w:rsid w:val="00AC6B8C"/>
    <w:rsid w:val="00AC6E0A"/>
    <w:rsid w:val="00AC710F"/>
    <w:rsid w:val="00AC7FF6"/>
    <w:rsid w:val="00AD0B21"/>
    <w:rsid w:val="00AD22CC"/>
    <w:rsid w:val="00AD378D"/>
    <w:rsid w:val="00AD3A95"/>
    <w:rsid w:val="00AD5226"/>
    <w:rsid w:val="00AD7BC7"/>
    <w:rsid w:val="00AD7F69"/>
    <w:rsid w:val="00AE1104"/>
    <w:rsid w:val="00AE14C8"/>
    <w:rsid w:val="00AE2D25"/>
    <w:rsid w:val="00AE412F"/>
    <w:rsid w:val="00AE56CC"/>
    <w:rsid w:val="00AE58D4"/>
    <w:rsid w:val="00AE7591"/>
    <w:rsid w:val="00AF25ED"/>
    <w:rsid w:val="00AF3723"/>
    <w:rsid w:val="00AF3C4C"/>
    <w:rsid w:val="00AF420C"/>
    <w:rsid w:val="00AF468B"/>
    <w:rsid w:val="00AF5C7D"/>
    <w:rsid w:val="00AF5EDA"/>
    <w:rsid w:val="00AF6163"/>
    <w:rsid w:val="00AF6802"/>
    <w:rsid w:val="00AF705E"/>
    <w:rsid w:val="00B00CBF"/>
    <w:rsid w:val="00B01349"/>
    <w:rsid w:val="00B01692"/>
    <w:rsid w:val="00B030AF"/>
    <w:rsid w:val="00B039EC"/>
    <w:rsid w:val="00B049EF"/>
    <w:rsid w:val="00B06499"/>
    <w:rsid w:val="00B10417"/>
    <w:rsid w:val="00B113D0"/>
    <w:rsid w:val="00B12A79"/>
    <w:rsid w:val="00B13859"/>
    <w:rsid w:val="00B15DD9"/>
    <w:rsid w:val="00B16E32"/>
    <w:rsid w:val="00B207A9"/>
    <w:rsid w:val="00B219A6"/>
    <w:rsid w:val="00B24E82"/>
    <w:rsid w:val="00B26621"/>
    <w:rsid w:val="00B27838"/>
    <w:rsid w:val="00B309BF"/>
    <w:rsid w:val="00B3226F"/>
    <w:rsid w:val="00B33747"/>
    <w:rsid w:val="00B35AE8"/>
    <w:rsid w:val="00B35D78"/>
    <w:rsid w:val="00B36749"/>
    <w:rsid w:val="00B45EFB"/>
    <w:rsid w:val="00B47C68"/>
    <w:rsid w:val="00B52D67"/>
    <w:rsid w:val="00B52E13"/>
    <w:rsid w:val="00B53782"/>
    <w:rsid w:val="00B53C8A"/>
    <w:rsid w:val="00B542BE"/>
    <w:rsid w:val="00B56146"/>
    <w:rsid w:val="00B56A31"/>
    <w:rsid w:val="00B56C64"/>
    <w:rsid w:val="00B57EC1"/>
    <w:rsid w:val="00B6196F"/>
    <w:rsid w:val="00B61F0C"/>
    <w:rsid w:val="00B63571"/>
    <w:rsid w:val="00B709AA"/>
    <w:rsid w:val="00B71CAC"/>
    <w:rsid w:val="00B72142"/>
    <w:rsid w:val="00B7221C"/>
    <w:rsid w:val="00B7420C"/>
    <w:rsid w:val="00B74670"/>
    <w:rsid w:val="00B74696"/>
    <w:rsid w:val="00B75A0D"/>
    <w:rsid w:val="00B75C75"/>
    <w:rsid w:val="00B7607C"/>
    <w:rsid w:val="00B76C43"/>
    <w:rsid w:val="00B774AF"/>
    <w:rsid w:val="00B77C65"/>
    <w:rsid w:val="00B8161C"/>
    <w:rsid w:val="00B81DA3"/>
    <w:rsid w:val="00B853A4"/>
    <w:rsid w:val="00B867D1"/>
    <w:rsid w:val="00B90D10"/>
    <w:rsid w:val="00B94DED"/>
    <w:rsid w:val="00B94F1A"/>
    <w:rsid w:val="00B96107"/>
    <w:rsid w:val="00B97CAF"/>
    <w:rsid w:val="00B97D2C"/>
    <w:rsid w:val="00BA1094"/>
    <w:rsid w:val="00BA17DF"/>
    <w:rsid w:val="00BA2556"/>
    <w:rsid w:val="00BA3DC8"/>
    <w:rsid w:val="00BA540B"/>
    <w:rsid w:val="00BA768A"/>
    <w:rsid w:val="00BA7948"/>
    <w:rsid w:val="00BB06A9"/>
    <w:rsid w:val="00BB1FE0"/>
    <w:rsid w:val="00BB2BA2"/>
    <w:rsid w:val="00BB3413"/>
    <w:rsid w:val="00BB40CB"/>
    <w:rsid w:val="00BB4580"/>
    <w:rsid w:val="00BB4FA3"/>
    <w:rsid w:val="00BC0C06"/>
    <w:rsid w:val="00BC1E90"/>
    <w:rsid w:val="00BC21B1"/>
    <w:rsid w:val="00BC2874"/>
    <w:rsid w:val="00BC400D"/>
    <w:rsid w:val="00BC4795"/>
    <w:rsid w:val="00BC50F2"/>
    <w:rsid w:val="00BC66DB"/>
    <w:rsid w:val="00BD0A6A"/>
    <w:rsid w:val="00BD289C"/>
    <w:rsid w:val="00BD37AB"/>
    <w:rsid w:val="00BD66E7"/>
    <w:rsid w:val="00BE5316"/>
    <w:rsid w:val="00BE574E"/>
    <w:rsid w:val="00BE6807"/>
    <w:rsid w:val="00BF2090"/>
    <w:rsid w:val="00BF2EE1"/>
    <w:rsid w:val="00BF6CA8"/>
    <w:rsid w:val="00BF6F1F"/>
    <w:rsid w:val="00BF7103"/>
    <w:rsid w:val="00C011ED"/>
    <w:rsid w:val="00C027F1"/>
    <w:rsid w:val="00C03F48"/>
    <w:rsid w:val="00C04829"/>
    <w:rsid w:val="00C04FDB"/>
    <w:rsid w:val="00C060F3"/>
    <w:rsid w:val="00C07806"/>
    <w:rsid w:val="00C07948"/>
    <w:rsid w:val="00C07CFA"/>
    <w:rsid w:val="00C10F85"/>
    <w:rsid w:val="00C113D9"/>
    <w:rsid w:val="00C13D77"/>
    <w:rsid w:val="00C1436B"/>
    <w:rsid w:val="00C162BD"/>
    <w:rsid w:val="00C1650F"/>
    <w:rsid w:val="00C1790A"/>
    <w:rsid w:val="00C20D7F"/>
    <w:rsid w:val="00C20F80"/>
    <w:rsid w:val="00C2412F"/>
    <w:rsid w:val="00C25950"/>
    <w:rsid w:val="00C25CD4"/>
    <w:rsid w:val="00C25F27"/>
    <w:rsid w:val="00C267B4"/>
    <w:rsid w:val="00C2736B"/>
    <w:rsid w:val="00C27F99"/>
    <w:rsid w:val="00C31378"/>
    <w:rsid w:val="00C314D6"/>
    <w:rsid w:val="00C314D7"/>
    <w:rsid w:val="00C3196B"/>
    <w:rsid w:val="00C31C98"/>
    <w:rsid w:val="00C31D59"/>
    <w:rsid w:val="00C3215D"/>
    <w:rsid w:val="00C324DB"/>
    <w:rsid w:val="00C327D8"/>
    <w:rsid w:val="00C3330F"/>
    <w:rsid w:val="00C34C4A"/>
    <w:rsid w:val="00C35F0A"/>
    <w:rsid w:val="00C35F7A"/>
    <w:rsid w:val="00C3617C"/>
    <w:rsid w:val="00C36A50"/>
    <w:rsid w:val="00C40090"/>
    <w:rsid w:val="00C40624"/>
    <w:rsid w:val="00C415F8"/>
    <w:rsid w:val="00C4281F"/>
    <w:rsid w:val="00C43459"/>
    <w:rsid w:val="00C43C16"/>
    <w:rsid w:val="00C4458F"/>
    <w:rsid w:val="00C46B44"/>
    <w:rsid w:val="00C46EA8"/>
    <w:rsid w:val="00C472B6"/>
    <w:rsid w:val="00C474AF"/>
    <w:rsid w:val="00C47DC0"/>
    <w:rsid w:val="00C502C8"/>
    <w:rsid w:val="00C527E6"/>
    <w:rsid w:val="00C527E8"/>
    <w:rsid w:val="00C53079"/>
    <w:rsid w:val="00C60CE4"/>
    <w:rsid w:val="00C60F08"/>
    <w:rsid w:val="00C61B0D"/>
    <w:rsid w:val="00C61BBB"/>
    <w:rsid w:val="00C62CEA"/>
    <w:rsid w:val="00C66BEB"/>
    <w:rsid w:val="00C70CF3"/>
    <w:rsid w:val="00C71459"/>
    <w:rsid w:val="00C74DB4"/>
    <w:rsid w:val="00C76E96"/>
    <w:rsid w:val="00C76FBC"/>
    <w:rsid w:val="00C7730B"/>
    <w:rsid w:val="00C81147"/>
    <w:rsid w:val="00C8432C"/>
    <w:rsid w:val="00C919C9"/>
    <w:rsid w:val="00C91AC6"/>
    <w:rsid w:val="00C92634"/>
    <w:rsid w:val="00C9385F"/>
    <w:rsid w:val="00C9465B"/>
    <w:rsid w:val="00C94AB2"/>
    <w:rsid w:val="00C97A65"/>
    <w:rsid w:val="00CA0D10"/>
    <w:rsid w:val="00CA34FA"/>
    <w:rsid w:val="00CA39E6"/>
    <w:rsid w:val="00CA68FB"/>
    <w:rsid w:val="00CB12FA"/>
    <w:rsid w:val="00CB19E6"/>
    <w:rsid w:val="00CB1F5D"/>
    <w:rsid w:val="00CB24E5"/>
    <w:rsid w:val="00CB3E8C"/>
    <w:rsid w:val="00CB5D17"/>
    <w:rsid w:val="00CB73F5"/>
    <w:rsid w:val="00CC00B2"/>
    <w:rsid w:val="00CC01DB"/>
    <w:rsid w:val="00CC02CA"/>
    <w:rsid w:val="00CC1C66"/>
    <w:rsid w:val="00CC1E82"/>
    <w:rsid w:val="00CC2E61"/>
    <w:rsid w:val="00CC474C"/>
    <w:rsid w:val="00CC51BF"/>
    <w:rsid w:val="00CC73CA"/>
    <w:rsid w:val="00CC7946"/>
    <w:rsid w:val="00CC7CFB"/>
    <w:rsid w:val="00CD1184"/>
    <w:rsid w:val="00CD26E0"/>
    <w:rsid w:val="00CD68FB"/>
    <w:rsid w:val="00CE05C1"/>
    <w:rsid w:val="00CE0D0E"/>
    <w:rsid w:val="00CE11AE"/>
    <w:rsid w:val="00CE3B12"/>
    <w:rsid w:val="00CE4876"/>
    <w:rsid w:val="00CE59A3"/>
    <w:rsid w:val="00CE60B8"/>
    <w:rsid w:val="00CE7D44"/>
    <w:rsid w:val="00CF0222"/>
    <w:rsid w:val="00CF1FB0"/>
    <w:rsid w:val="00CF2BA2"/>
    <w:rsid w:val="00CF6637"/>
    <w:rsid w:val="00CF6651"/>
    <w:rsid w:val="00CF6F26"/>
    <w:rsid w:val="00CF7A5C"/>
    <w:rsid w:val="00D01445"/>
    <w:rsid w:val="00D01993"/>
    <w:rsid w:val="00D0269D"/>
    <w:rsid w:val="00D03D66"/>
    <w:rsid w:val="00D05DB1"/>
    <w:rsid w:val="00D1014B"/>
    <w:rsid w:val="00D10E4F"/>
    <w:rsid w:val="00D130A7"/>
    <w:rsid w:val="00D15040"/>
    <w:rsid w:val="00D17179"/>
    <w:rsid w:val="00D2128C"/>
    <w:rsid w:val="00D226FC"/>
    <w:rsid w:val="00D23A3B"/>
    <w:rsid w:val="00D25F2D"/>
    <w:rsid w:val="00D26CD2"/>
    <w:rsid w:val="00D27EDD"/>
    <w:rsid w:val="00D30732"/>
    <w:rsid w:val="00D32D96"/>
    <w:rsid w:val="00D335FD"/>
    <w:rsid w:val="00D33A92"/>
    <w:rsid w:val="00D344AB"/>
    <w:rsid w:val="00D347DE"/>
    <w:rsid w:val="00D34DEB"/>
    <w:rsid w:val="00D3629D"/>
    <w:rsid w:val="00D36C6F"/>
    <w:rsid w:val="00D4039D"/>
    <w:rsid w:val="00D406A7"/>
    <w:rsid w:val="00D41C96"/>
    <w:rsid w:val="00D42BB1"/>
    <w:rsid w:val="00D43707"/>
    <w:rsid w:val="00D459DD"/>
    <w:rsid w:val="00D45B51"/>
    <w:rsid w:val="00D45B86"/>
    <w:rsid w:val="00D47B81"/>
    <w:rsid w:val="00D55671"/>
    <w:rsid w:val="00D559EC"/>
    <w:rsid w:val="00D56B9F"/>
    <w:rsid w:val="00D62890"/>
    <w:rsid w:val="00D64283"/>
    <w:rsid w:val="00D643A9"/>
    <w:rsid w:val="00D64DCA"/>
    <w:rsid w:val="00D64F41"/>
    <w:rsid w:val="00D669DD"/>
    <w:rsid w:val="00D7160E"/>
    <w:rsid w:val="00D71E80"/>
    <w:rsid w:val="00D73847"/>
    <w:rsid w:val="00D74B1C"/>
    <w:rsid w:val="00D74F55"/>
    <w:rsid w:val="00D77546"/>
    <w:rsid w:val="00D77FBC"/>
    <w:rsid w:val="00D81368"/>
    <w:rsid w:val="00D81A58"/>
    <w:rsid w:val="00D82378"/>
    <w:rsid w:val="00D845C1"/>
    <w:rsid w:val="00D84660"/>
    <w:rsid w:val="00D85257"/>
    <w:rsid w:val="00D86157"/>
    <w:rsid w:val="00D87B0D"/>
    <w:rsid w:val="00D87BE9"/>
    <w:rsid w:val="00D90406"/>
    <w:rsid w:val="00D9233D"/>
    <w:rsid w:val="00D92635"/>
    <w:rsid w:val="00D93BF3"/>
    <w:rsid w:val="00D945B9"/>
    <w:rsid w:val="00D94D42"/>
    <w:rsid w:val="00DA0DAD"/>
    <w:rsid w:val="00DA1615"/>
    <w:rsid w:val="00DA1AF4"/>
    <w:rsid w:val="00DA3840"/>
    <w:rsid w:val="00DA3C9B"/>
    <w:rsid w:val="00DA555F"/>
    <w:rsid w:val="00DB0B7A"/>
    <w:rsid w:val="00DB3853"/>
    <w:rsid w:val="00DB5E3E"/>
    <w:rsid w:val="00DB6E0F"/>
    <w:rsid w:val="00DB70F1"/>
    <w:rsid w:val="00DB76D8"/>
    <w:rsid w:val="00DB7A67"/>
    <w:rsid w:val="00DC0CD6"/>
    <w:rsid w:val="00DC2B1B"/>
    <w:rsid w:val="00DC4D55"/>
    <w:rsid w:val="00DC75C9"/>
    <w:rsid w:val="00DD243D"/>
    <w:rsid w:val="00DD26CB"/>
    <w:rsid w:val="00DD38D0"/>
    <w:rsid w:val="00DD78F9"/>
    <w:rsid w:val="00DE11EC"/>
    <w:rsid w:val="00DE348D"/>
    <w:rsid w:val="00DE3620"/>
    <w:rsid w:val="00DE4A08"/>
    <w:rsid w:val="00DE4ACA"/>
    <w:rsid w:val="00DE7524"/>
    <w:rsid w:val="00DE7B5F"/>
    <w:rsid w:val="00DF0B28"/>
    <w:rsid w:val="00DF10F4"/>
    <w:rsid w:val="00DF16C8"/>
    <w:rsid w:val="00DF23B2"/>
    <w:rsid w:val="00DF2E09"/>
    <w:rsid w:val="00DF372E"/>
    <w:rsid w:val="00DF5EEE"/>
    <w:rsid w:val="00E01D7A"/>
    <w:rsid w:val="00E02A8E"/>
    <w:rsid w:val="00E03429"/>
    <w:rsid w:val="00E03B42"/>
    <w:rsid w:val="00E043B8"/>
    <w:rsid w:val="00E05C84"/>
    <w:rsid w:val="00E061E0"/>
    <w:rsid w:val="00E06347"/>
    <w:rsid w:val="00E066CE"/>
    <w:rsid w:val="00E06C19"/>
    <w:rsid w:val="00E07969"/>
    <w:rsid w:val="00E10588"/>
    <w:rsid w:val="00E12703"/>
    <w:rsid w:val="00E12813"/>
    <w:rsid w:val="00E12E2C"/>
    <w:rsid w:val="00E1377A"/>
    <w:rsid w:val="00E13D48"/>
    <w:rsid w:val="00E14030"/>
    <w:rsid w:val="00E14B33"/>
    <w:rsid w:val="00E16D77"/>
    <w:rsid w:val="00E1700A"/>
    <w:rsid w:val="00E22C33"/>
    <w:rsid w:val="00E23533"/>
    <w:rsid w:val="00E23E5A"/>
    <w:rsid w:val="00E244D4"/>
    <w:rsid w:val="00E256C2"/>
    <w:rsid w:val="00E30A72"/>
    <w:rsid w:val="00E314FC"/>
    <w:rsid w:val="00E31EFE"/>
    <w:rsid w:val="00E359E6"/>
    <w:rsid w:val="00E376BA"/>
    <w:rsid w:val="00E37F0C"/>
    <w:rsid w:val="00E41BF7"/>
    <w:rsid w:val="00E42387"/>
    <w:rsid w:val="00E42623"/>
    <w:rsid w:val="00E42654"/>
    <w:rsid w:val="00E428E1"/>
    <w:rsid w:val="00E429F3"/>
    <w:rsid w:val="00E43319"/>
    <w:rsid w:val="00E4348E"/>
    <w:rsid w:val="00E4552A"/>
    <w:rsid w:val="00E46519"/>
    <w:rsid w:val="00E46BDE"/>
    <w:rsid w:val="00E51F26"/>
    <w:rsid w:val="00E53F5B"/>
    <w:rsid w:val="00E57ED4"/>
    <w:rsid w:val="00E60FC3"/>
    <w:rsid w:val="00E62895"/>
    <w:rsid w:val="00E6414C"/>
    <w:rsid w:val="00E642BD"/>
    <w:rsid w:val="00E645B7"/>
    <w:rsid w:val="00E66178"/>
    <w:rsid w:val="00E67CCD"/>
    <w:rsid w:val="00E67E60"/>
    <w:rsid w:val="00E7018E"/>
    <w:rsid w:val="00E70A51"/>
    <w:rsid w:val="00E71108"/>
    <w:rsid w:val="00E7130D"/>
    <w:rsid w:val="00E713CB"/>
    <w:rsid w:val="00E7149C"/>
    <w:rsid w:val="00E72F3B"/>
    <w:rsid w:val="00E733E3"/>
    <w:rsid w:val="00E74E47"/>
    <w:rsid w:val="00E759D3"/>
    <w:rsid w:val="00E75A7F"/>
    <w:rsid w:val="00E75DB0"/>
    <w:rsid w:val="00E76E4D"/>
    <w:rsid w:val="00E80813"/>
    <w:rsid w:val="00E813EC"/>
    <w:rsid w:val="00E8249B"/>
    <w:rsid w:val="00E845B8"/>
    <w:rsid w:val="00E858BA"/>
    <w:rsid w:val="00E85F93"/>
    <w:rsid w:val="00E90363"/>
    <w:rsid w:val="00E94AEE"/>
    <w:rsid w:val="00E94D5C"/>
    <w:rsid w:val="00E9521A"/>
    <w:rsid w:val="00E95B7C"/>
    <w:rsid w:val="00EA045E"/>
    <w:rsid w:val="00EA357B"/>
    <w:rsid w:val="00EA5C92"/>
    <w:rsid w:val="00EA64E4"/>
    <w:rsid w:val="00EB07D8"/>
    <w:rsid w:val="00EB3BDC"/>
    <w:rsid w:val="00EB58BA"/>
    <w:rsid w:val="00EB668B"/>
    <w:rsid w:val="00EB77AC"/>
    <w:rsid w:val="00EC0B51"/>
    <w:rsid w:val="00EC1B61"/>
    <w:rsid w:val="00EC4F98"/>
    <w:rsid w:val="00EC5D35"/>
    <w:rsid w:val="00ED1A9A"/>
    <w:rsid w:val="00ED1E81"/>
    <w:rsid w:val="00ED31D3"/>
    <w:rsid w:val="00ED40DF"/>
    <w:rsid w:val="00ED4301"/>
    <w:rsid w:val="00ED53E7"/>
    <w:rsid w:val="00ED5817"/>
    <w:rsid w:val="00ED6579"/>
    <w:rsid w:val="00EE0F6A"/>
    <w:rsid w:val="00EE245C"/>
    <w:rsid w:val="00EE2DB6"/>
    <w:rsid w:val="00EE33E8"/>
    <w:rsid w:val="00EE3818"/>
    <w:rsid w:val="00EE3A72"/>
    <w:rsid w:val="00EE5606"/>
    <w:rsid w:val="00EE7357"/>
    <w:rsid w:val="00EE7461"/>
    <w:rsid w:val="00EF0584"/>
    <w:rsid w:val="00EF1BE7"/>
    <w:rsid w:val="00EF2357"/>
    <w:rsid w:val="00EF3A43"/>
    <w:rsid w:val="00EF47C8"/>
    <w:rsid w:val="00EF5969"/>
    <w:rsid w:val="00EF791C"/>
    <w:rsid w:val="00F034D0"/>
    <w:rsid w:val="00F03A10"/>
    <w:rsid w:val="00F06684"/>
    <w:rsid w:val="00F07ABB"/>
    <w:rsid w:val="00F11EC3"/>
    <w:rsid w:val="00F14014"/>
    <w:rsid w:val="00F14305"/>
    <w:rsid w:val="00F1549C"/>
    <w:rsid w:val="00F20CBD"/>
    <w:rsid w:val="00F2102A"/>
    <w:rsid w:val="00F21FC7"/>
    <w:rsid w:val="00F2242E"/>
    <w:rsid w:val="00F22B30"/>
    <w:rsid w:val="00F270C5"/>
    <w:rsid w:val="00F3035E"/>
    <w:rsid w:val="00F308B5"/>
    <w:rsid w:val="00F326B9"/>
    <w:rsid w:val="00F3363C"/>
    <w:rsid w:val="00F3479A"/>
    <w:rsid w:val="00F34CF4"/>
    <w:rsid w:val="00F3594D"/>
    <w:rsid w:val="00F40429"/>
    <w:rsid w:val="00F438A2"/>
    <w:rsid w:val="00F44CB9"/>
    <w:rsid w:val="00F45F17"/>
    <w:rsid w:val="00F50A26"/>
    <w:rsid w:val="00F50BC8"/>
    <w:rsid w:val="00F517BA"/>
    <w:rsid w:val="00F53FA2"/>
    <w:rsid w:val="00F54757"/>
    <w:rsid w:val="00F54D9A"/>
    <w:rsid w:val="00F5521A"/>
    <w:rsid w:val="00F554B9"/>
    <w:rsid w:val="00F64865"/>
    <w:rsid w:val="00F64F5C"/>
    <w:rsid w:val="00F66372"/>
    <w:rsid w:val="00F66B8B"/>
    <w:rsid w:val="00F73165"/>
    <w:rsid w:val="00F74462"/>
    <w:rsid w:val="00F75799"/>
    <w:rsid w:val="00F8079E"/>
    <w:rsid w:val="00F8336A"/>
    <w:rsid w:val="00F83810"/>
    <w:rsid w:val="00F86531"/>
    <w:rsid w:val="00F875EA"/>
    <w:rsid w:val="00F913E0"/>
    <w:rsid w:val="00F915BF"/>
    <w:rsid w:val="00F918E3"/>
    <w:rsid w:val="00F92B78"/>
    <w:rsid w:val="00F92DAA"/>
    <w:rsid w:val="00F96E0D"/>
    <w:rsid w:val="00F97293"/>
    <w:rsid w:val="00FA00B9"/>
    <w:rsid w:val="00FA05E7"/>
    <w:rsid w:val="00FA0BA9"/>
    <w:rsid w:val="00FA2C9E"/>
    <w:rsid w:val="00FA2EF8"/>
    <w:rsid w:val="00FA3CDA"/>
    <w:rsid w:val="00FA40CE"/>
    <w:rsid w:val="00FA4A00"/>
    <w:rsid w:val="00FA58F6"/>
    <w:rsid w:val="00FA6174"/>
    <w:rsid w:val="00FA6CA9"/>
    <w:rsid w:val="00FA70E1"/>
    <w:rsid w:val="00FB125B"/>
    <w:rsid w:val="00FB1B98"/>
    <w:rsid w:val="00FB2577"/>
    <w:rsid w:val="00FB40E9"/>
    <w:rsid w:val="00FB46F9"/>
    <w:rsid w:val="00FB5FBE"/>
    <w:rsid w:val="00FB6B8F"/>
    <w:rsid w:val="00FB7CD4"/>
    <w:rsid w:val="00FB7EBD"/>
    <w:rsid w:val="00FC1A78"/>
    <w:rsid w:val="00FC1F8F"/>
    <w:rsid w:val="00FC533E"/>
    <w:rsid w:val="00FC5EF4"/>
    <w:rsid w:val="00FD134C"/>
    <w:rsid w:val="00FD4247"/>
    <w:rsid w:val="00FD43EB"/>
    <w:rsid w:val="00FD4A6B"/>
    <w:rsid w:val="00FD4B51"/>
    <w:rsid w:val="00FD4BD9"/>
    <w:rsid w:val="00FD6F04"/>
    <w:rsid w:val="00FE165F"/>
    <w:rsid w:val="00FE2E86"/>
    <w:rsid w:val="00FE72E0"/>
    <w:rsid w:val="00FF346D"/>
    <w:rsid w:val="00FF3C07"/>
    <w:rsid w:val="00FF51EE"/>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24"/>
  </w:style>
  <w:style w:type="paragraph" w:styleId="Heading1">
    <w:name w:val="heading 1"/>
    <w:basedOn w:val="Normal"/>
    <w:next w:val="Normal"/>
    <w:link w:val="Heading1Char"/>
    <w:uiPriority w:val="9"/>
    <w:qFormat/>
    <w:rsid w:val="00292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9F3"/>
    <w:pPr>
      <w:keepNext/>
      <w:keepLines/>
      <w:widowControl/>
      <w:spacing w:before="200" w:after="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FC"/>
    <w:rPr>
      <w:rFonts w:ascii="Tahoma" w:hAnsi="Tahoma" w:cs="Tahoma"/>
      <w:sz w:val="16"/>
      <w:szCs w:val="16"/>
    </w:rPr>
  </w:style>
  <w:style w:type="paragraph" w:styleId="Header">
    <w:name w:val="header"/>
    <w:basedOn w:val="Normal"/>
    <w:link w:val="HeaderChar"/>
    <w:uiPriority w:val="99"/>
    <w:unhideWhenUsed/>
    <w:rsid w:val="00EE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45C"/>
  </w:style>
  <w:style w:type="paragraph" w:styleId="Footer">
    <w:name w:val="footer"/>
    <w:basedOn w:val="Normal"/>
    <w:link w:val="FooterChar"/>
    <w:uiPriority w:val="99"/>
    <w:unhideWhenUsed/>
    <w:rsid w:val="00EE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45C"/>
  </w:style>
  <w:style w:type="paragraph" w:styleId="ListParagraph">
    <w:name w:val="List Paragraph"/>
    <w:aliases w:val="List Paragraph Bullet,Bulleted List Level 1"/>
    <w:basedOn w:val="Normal"/>
    <w:link w:val="ListParagraphChar"/>
    <w:uiPriority w:val="34"/>
    <w:qFormat/>
    <w:rsid w:val="00EE245C"/>
    <w:pPr>
      <w:ind w:left="720"/>
      <w:contextualSpacing/>
    </w:pPr>
  </w:style>
  <w:style w:type="table" w:styleId="TableGrid">
    <w:name w:val="Table Grid"/>
    <w:basedOn w:val="TableNormal"/>
    <w:uiPriority w:val="59"/>
    <w:rsid w:val="008D01F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9F3"/>
    <w:rPr>
      <w:rFonts w:asciiTheme="majorHAnsi" w:eastAsiaTheme="majorEastAsia" w:hAnsiTheme="majorHAnsi" w:cstheme="majorBidi"/>
      <w:b/>
      <w:bCs/>
      <w:color w:val="4F81BD" w:themeColor="accent1"/>
      <w:sz w:val="28"/>
      <w:szCs w:val="26"/>
    </w:rPr>
  </w:style>
  <w:style w:type="paragraph" w:styleId="NoSpacing">
    <w:name w:val="No Spacing"/>
    <w:link w:val="NoSpacingChar"/>
    <w:uiPriority w:val="1"/>
    <w:qFormat/>
    <w:rsid w:val="004679F3"/>
    <w:pPr>
      <w:widowControl/>
      <w:spacing w:after="0" w:line="240" w:lineRule="auto"/>
    </w:pPr>
    <w:rPr>
      <w:sz w:val="24"/>
    </w:rPr>
  </w:style>
  <w:style w:type="character" w:customStyle="1" w:styleId="NoSpacingChar">
    <w:name w:val="No Spacing Char"/>
    <w:basedOn w:val="DefaultParagraphFont"/>
    <w:link w:val="NoSpacing"/>
    <w:uiPriority w:val="1"/>
    <w:rsid w:val="004679F3"/>
    <w:rPr>
      <w:sz w:val="24"/>
    </w:rPr>
  </w:style>
  <w:style w:type="character" w:styleId="Hyperlink">
    <w:name w:val="Hyperlink"/>
    <w:basedOn w:val="DefaultParagraphFont"/>
    <w:uiPriority w:val="99"/>
    <w:unhideWhenUsed/>
    <w:rsid w:val="004679F3"/>
    <w:rPr>
      <w:color w:val="0000FF" w:themeColor="hyperlink"/>
      <w:u w:val="single"/>
    </w:rPr>
  </w:style>
  <w:style w:type="paragraph" w:customStyle="1" w:styleId="Default">
    <w:name w:val="Default"/>
    <w:basedOn w:val="Normal"/>
    <w:rsid w:val="00233442"/>
    <w:pPr>
      <w:widowControl/>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B3E8C"/>
    <w:rPr>
      <w:sz w:val="16"/>
      <w:szCs w:val="16"/>
    </w:rPr>
  </w:style>
  <w:style w:type="paragraph" w:styleId="CommentText">
    <w:name w:val="annotation text"/>
    <w:basedOn w:val="Normal"/>
    <w:link w:val="CommentTextChar"/>
    <w:uiPriority w:val="99"/>
    <w:unhideWhenUsed/>
    <w:rsid w:val="00CB3E8C"/>
    <w:pPr>
      <w:spacing w:line="240" w:lineRule="auto"/>
    </w:pPr>
    <w:rPr>
      <w:sz w:val="20"/>
      <w:szCs w:val="20"/>
    </w:rPr>
  </w:style>
  <w:style w:type="character" w:customStyle="1" w:styleId="CommentTextChar">
    <w:name w:val="Comment Text Char"/>
    <w:basedOn w:val="DefaultParagraphFont"/>
    <w:link w:val="CommentText"/>
    <w:uiPriority w:val="99"/>
    <w:rsid w:val="00CB3E8C"/>
    <w:rPr>
      <w:sz w:val="20"/>
      <w:szCs w:val="20"/>
    </w:rPr>
  </w:style>
  <w:style w:type="paragraph" w:styleId="CommentSubject">
    <w:name w:val="annotation subject"/>
    <w:basedOn w:val="CommentText"/>
    <w:next w:val="CommentText"/>
    <w:link w:val="CommentSubjectChar"/>
    <w:uiPriority w:val="99"/>
    <w:semiHidden/>
    <w:unhideWhenUsed/>
    <w:rsid w:val="00CB3E8C"/>
    <w:rPr>
      <w:b/>
      <w:bCs/>
    </w:rPr>
  </w:style>
  <w:style w:type="character" w:customStyle="1" w:styleId="CommentSubjectChar">
    <w:name w:val="Comment Subject Char"/>
    <w:basedOn w:val="CommentTextChar"/>
    <w:link w:val="CommentSubject"/>
    <w:uiPriority w:val="99"/>
    <w:semiHidden/>
    <w:rsid w:val="00CB3E8C"/>
    <w:rPr>
      <w:b/>
      <w:bCs/>
      <w:sz w:val="20"/>
      <w:szCs w:val="20"/>
    </w:rPr>
  </w:style>
  <w:style w:type="character" w:customStyle="1" w:styleId="xdb">
    <w:name w:val="_xdb"/>
    <w:basedOn w:val="DefaultParagraphFont"/>
    <w:rsid w:val="00523381"/>
  </w:style>
  <w:style w:type="character" w:customStyle="1" w:styleId="apple-converted-space">
    <w:name w:val="apple-converted-space"/>
    <w:basedOn w:val="DefaultParagraphFont"/>
    <w:rsid w:val="00523381"/>
  </w:style>
  <w:style w:type="character" w:customStyle="1" w:styleId="xbe">
    <w:name w:val="_xbe"/>
    <w:basedOn w:val="DefaultParagraphFont"/>
    <w:rsid w:val="00523381"/>
  </w:style>
  <w:style w:type="character" w:customStyle="1" w:styleId="lxk">
    <w:name w:val="_lxk"/>
    <w:basedOn w:val="DefaultParagraphFont"/>
    <w:rsid w:val="00523381"/>
  </w:style>
  <w:style w:type="character" w:customStyle="1" w:styleId="bc">
    <w:name w:val="_bc"/>
    <w:basedOn w:val="DefaultParagraphFont"/>
    <w:rsid w:val="00523381"/>
  </w:style>
  <w:style w:type="character" w:customStyle="1" w:styleId="ck">
    <w:name w:val="_ck"/>
    <w:basedOn w:val="DefaultParagraphFont"/>
    <w:rsid w:val="00523381"/>
  </w:style>
  <w:style w:type="character" w:customStyle="1" w:styleId="ymh">
    <w:name w:val="_ymh"/>
    <w:basedOn w:val="DefaultParagraphFont"/>
    <w:rsid w:val="00523381"/>
  </w:style>
  <w:style w:type="character" w:customStyle="1" w:styleId="bs">
    <w:name w:val="_bs"/>
    <w:basedOn w:val="DefaultParagraphFont"/>
    <w:rsid w:val="00523381"/>
  </w:style>
  <w:style w:type="character" w:customStyle="1" w:styleId="n1d">
    <w:name w:val="_n1d"/>
    <w:basedOn w:val="DefaultParagraphFont"/>
    <w:rsid w:val="00DD38D0"/>
  </w:style>
  <w:style w:type="character" w:customStyle="1" w:styleId="visualgroup">
    <w:name w:val="visualgroup"/>
    <w:basedOn w:val="DefaultParagraphFont"/>
    <w:rsid w:val="00432447"/>
  </w:style>
  <w:style w:type="paragraph" w:styleId="NormalWeb">
    <w:name w:val="Normal (Web)"/>
    <w:basedOn w:val="Normal"/>
    <w:uiPriority w:val="99"/>
    <w:unhideWhenUsed/>
    <w:rsid w:val="00B56C64"/>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6C64"/>
    <w:rPr>
      <w:color w:val="808080"/>
    </w:rPr>
  </w:style>
  <w:style w:type="character" w:customStyle="1" w:styleId="tgc">
    <w:name w:val="_tgc"/>
    <w:basedOn w:val="DefaultParagraphFont"/>
    <w:rsid w:val="005C09AF"/>
  </w:style>
  <w:style w:type="paragraph" w:styleId="Revision">
    <w:name w:val="Revision"/>
    <w:hidden/>
    <w:uiPriority w:val="99"/>
    <w:semiHidden/>
    <w:rsid w:val="005C09AF"/>
    <w:pPr>
      <w:widowControl/>
      <w:spacing w:after="0" w:line="240" w:lineRule="auto"/>
    </w:pPr>
  </w:style>
  <w:style w:type="character" w:styleId="FollowedHyperlink">
    <w:name w:val="FollowedHyperlink"/>
    <w:basedOn w:val="DefaultParagraphFont"/>
    <w:uiPriority w:val="99"/>
    <w:semiHidden/>
    <w:unhideWhenUsed/>
    <w:rsid w:val="0043640F"/>
    <w:rPr>
      <w:color w:val="800080" w:themeColor="followedHyperlink"/>
      <w:u w:val="single"/>
    </w:rPr>
  </w:style>
  <w:style w:type="character" w:customStyle="1" w:styleId="ListParagraphChar">
    <w:name w:val="List Paragraph Char"/>
    <w:aliases w:val="List Paragraph Bullet Char,Bulleted List Level 1 Char"/>
    <w:basedOn w:val="DefaultParagraphFont"/>
    <w:link w:val="ListParagraph"/>
    <w:uiPriority w:val="34"/>
    <w:locked/>
    <w:rsid w:val="00024486"/>
  </w:style>
  <w:style w:type="character" w:customStyle="1" w:styleId="Heading1Char">
    <w:name w:val="Heading 1 Char"/>
    <w:basedOn w:val="DefaultParagraphFont"/>
    <w:link w:val="Heading1"/>
    <w:uiPriority w:val="9"/>
    <w:rsid w:val="002927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24"/>
  </w:style>
  <w:style w:type="paragraph" w:styleId="Heading1">
    <w:name w:val="heading 1"/>
    <w:basedOn w:val="Normal"/>
    <w:next w:val="Normal"/>
    <w:link w:val="Heading1Char"/>
    <w:uiPriority w:val="9"/>
    <w:qFormat/>
    <w:rsid w:val="00292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9F3"/>
    <w:pPr>
      <w:keepNext/>
      <w:keepLines/>
      <w:widowControl/>
      <w:spacing w:before="200" w:after="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FC"/>
    <w:rPr>
      <w:rFonts w:ascii="Tahoma" w:hAnsi="Tahoma" w:cs="Tahoma"/>
      <w:sz w:val="16"/>
      <w:szCs w:val="16"/>
    </w:rPr>
  </w:style>
  <w:style w:type="paragraph" w:styleId="Header">
    <w:name w:val="header"/>
    <w:basedOn w:val="Normal"/>
    <w:link w:val="HeaderChar"/>
    <w:uiPriority w:val="99"/>
    <w:unhideWhenUsed/>
    <w:rsid w:val="00EE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45C"/>
  </w:style>
  <w:style w:type="paragraph" w:styleId="Footer">
    <w:name w:val="footer"/>
    <w:basedOn w:val="Normal"/>
    <w:link w:val="FooterChar"/>
    <w:uiPriority w:val="99"/>
    <w:unhideWhenUsed/>
    <w:rsid w:val="00EE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45C"/>
  </w:style>
  <w:style w:type="paragraph" w:styleId="ListParagraph">
    <w:name w:val="List Paragraph"/>
    <w:aliases w:val="List Paragraph Bullet,Bulleted List Level 1"/>
    <w:basedOn w:val="Normal"/>
    <w:link w:val="ListParagraphChar"/>
    <w:uiPriority w:val="34"/>
    <w:qFormat/>
    <w:rsid w:val="00EE245C"/>
    <w:pPr>
      <w:ind w:left="720"/>
      <w:contextualSpacing/>
    </w:pPr>
  </w:style>
  <w:style w:type="table" w:styleId="TableGrid">
    <w:name w:val="Table Grid"/>
    <w:basedOn w:val="TableNormal"/>
    <w:uiPriority w:val="59"/>
    <w:rsid w:val="008D01F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9F3"/>
    <w:rPr>
      <w:rFonts w:asciiTheme="majorHAnsi" w:eastAsiaTheme="majorEastAsia" w:hAnsiTheme="majorHAnsi" w:cstheme="majorBidi"/>
      <w:b/>
      <w:bCs/>
      <w:color w:val="4F81BD" w:themeColor="accent1"/>
      <w:sz w:val="28"/>
      <w:szCs w:val="26"/>
    </w:rPr>
  </w:style>
  <w:style w:type="paragraph" w:styleId="NoSpacing">
    <w:name w:val="No Spacing"/>
    <w:link w:val="NoSpacingChar"/>
    <w:uiPriority w:val="1"/>
    <w:qFormat/>
    <w:rsid w:val="004679F3"/>
    <w:pPr>
      <w:widowControl/>
      <w:spacing w:after="0" w:line="240" w:lineRule="auto"/>
    </w:pPr>
    <w:rPr>
      <w:sz w:val="24"/>
    </w:rPr>
  </w:style>
  <w:style w:type="character" w:customStyle="1" w:styleId="NoSpacingChar">
    <w:name w:val="No Spacing Char"/>
    <w:basedOn w:val="DefaultParagraphFont"/>
    <w:link w:val="NoSpacing"/>
    <w:uiPriority w:val="1"/>
    <w:rsid w:val="004679F3"/>
    <w:rPr>
      <w:sz w:val="24"/>
    </w:rPr>
  </w:style>
  <w:style w:type="character" w:styleId="Hyperlink">
    <w:name w:val="Hyperlink"/>
    <w:basedOn w:val="DefaultParagraphFont"/>
    <w:uiPriority w:val="99"/>
    <w:unhideWhenUsed/>
    <w:rsid w:val="004679F3"/>
    <w:rPr>
      <w:color w:val="0000FF" w:themeColor="hyperlink"/>
      <w:u w:val="single"/>
    </w:rPr>
  </w:style>
  <w:style w:type="paragraph" w:customStyle="1" w:styleId="Default">
    <w:name w:val="Default"/>
    <w:basedOn w:val="Normal"/>
    <w:rsid w:val="00233442"/>
    <w:pPr>
      <w:widowControl/>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B3E8C"/>
    <w:rPr>
      <w:sz w:val="16"/>
      <w:szCs w:val="16"/>
    </w:rPr>
  </w:style>
  <w:style w:type="paragraph" w:styleId="CommentText">
    <w:name w:val="annotation text"/>
    <w:basedOn w:val="Normal"/>
    <w:link w:val="CommentTextChar"/>
    <w:uiPriority w:val="99"/>
    <w:unhideWhenUsed/>
    <w:rsid w:val="00CB3E8C"/>
    <w:pPr>
      <w:spacing w:line="240" w:lineRule="auto"/>
    </w:pPr>
    <w:rPr>
      <w:sz w:val="20"/>
      <w:szCs w:val="20"/>
    </w:rPr>
  </w:style>
  <w:style w:type="character" w:customStyle="1" w:styleId="CommentTextChar">
    <w:name w:val="Comment Text Char"/>
    <w:basedOn w:val="DefaultParagraphFont"/>
    <w:link w:val="CommentText"/>
    <w:uiPriority w:val="99"/>
    <w:rsid w:val="00CB3E8C"/>
    <w:rPr>
      <w:sz w:val="20"/>
      <w:szCs w:val="20"/>
    </w:rPr>
  </w:style>
  <w:style w:type="paragraph" w:styleId="CommentSubject">
    <w:name w:val="annotation subject"/>
    <w:basedOn w:val="CommentText"/>
    <w:next w:val="CommentText"/>
    <w:link w:val="CommentSubjectChar"/>
    <w:uiPriority w:val="99"/>
    <w:semiHidden/>
    <w:unhideWhenUsed/>
    <w:rsid w:val="00CB3E8C"/>
    <w:rPr>
      <w:b/>
      <w:bCs/>
    </w:rPr>
  </w:style>
  <w:style w:type="character" w:customStyle="1" w:styleId="CommentSubjectChar">
    <w:name w:val="Comment Subject Char"/>
    <w:basedOn w:val="CommentTextChar"/>
    <w:link w:val="CommentSubject"/>
    <w:uiPriority w:val="99"/>
    <w:semiHidden/>
    <w:rsid w:val="00CB3E8C"/>
    <w:rPr>
      <w:b/>
      <w:bCs/>
      <w:sz w:val="20"/>
      <w:szCs w:val="20"/>
    </w:rPr>
  </w:style>
  <w:style w:type="character" w:customStyle="1" w:styleId="xdb">
    <w:name w:val="_xdb"/>
    <w:basedOn w:val="DefaultParagraphFont"/>
    <w:rsid w:val="00523381"/>
  </w:style>
  <w:style w:type="character" w:customStyle="1" w:styleId="apple-converted-space">
    <w:name w:val="apple-converted-space"/>
    <w:basedOn w:val="DefaultParagraphFont"/>
    <w:rsid w:val="00523381"/>
  </w:style>
  <w:style w:type="character" w:customStyle="1" w:styleId="xbe">
    <w:name w:val="_xbe"/>
    <w:basedOn w:val="DefaultParagraphFont"/>
    <w:rsid w:val="00523381"/>
  </w:style>
  <w:style w:type="character" w:customStyle="1" w:styleId="lxk">
    <w:name w:val="_lxk"/>
    <w:basedOn w:val="DefaultParagraphFont"/>
    <w:rsid w:val="00523381"/>
  </w:style>
  <w:style w:type="character" w:customStyle="1" w:styleId="bc">
    <w:name w:val="_bc"/>
    <w:basedOn w:val="DefaultParagraphFont"/>
    <w:rsid w:val="00523381"/>
  </w:style>
  <w:style w:type="character" w:customStyle="1" w:styleId="ck">
    <w:name w:val="_ck"/>
    <w:basedOn w:val="DefaultParagraphFont"/>
    <w:rsid w:val="00523381"/>
  </w:style>
  <w:style w:type="character" w:customStyle="1" w:styleId="ymh">
    <w:name w:val="_ymh"/>
    <w:basedOn w:val="DefaultParagraphFont"/>
    <w:rsid w:val="00523381"/>
  </w:style>
  <w:style w:type="character" w:customStyle="1" w:styleId="bs">
    <w:name w:val="_bs"/>
    <w:basedOn w:val="DefaultParagraphFont"/>
    <w:rsid w:val="00523381"/>
  </w:style>
  <w:style w:type="character" w:customStyle="1" w:styleId="n1d">
    <w:name w:val="_n1d"/>
    <w:basedOn w:val="DefaultParagraphFont"/>
    <w:rsid w:val="00DD38D0"/>
  </w:style>
  <w:style w:type="character" w:customStyle="1" w:styleId="visualgroup">
    <w:name w:val="visualgroup"/>
    <w:basedOn w:val="DefaultParagraphFont"/>
    <w:rsid w:val="00432447"/>
  </w:style>
  <w:style w:type="paragraph" w:styleId="NormalWeb">
    <w:name w:val="Normal (Web)"/>
    <w:basedOn w:val="Normal"/>
    <w:uiPriority w:val="99"/>
    <w:unhideWhenUsed/>
    <w:rsid w:val="00B56C64"/>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6C64"/>
    <w:rPr>
      <w:color w:val="808080"/>
    </w:rPr>
  </w:style>
  <w:style w:type="character" w:customStyle="1" w:styleId="tgc">
    <w:name w:val="_tgc"/>
    <w:basedOn w:val="DefaultParagraphFont"/>
    <w:rsid w:val="005C09AF"/>
  </w:style>
  <w:style w:type="paragraph" w:styleId="Revision">
    <w:name w:val="Revision"/>
    <w:hidden/>
    <w:uiPriority w:val="99"/>
    <w:semiHidden/>
    <w:rsid w:val="005C09AF"/>
    <w:pPr>
      <w:widowControl/>
      <w:spacing w:after="0" w:line="240" w:lineRule="auto"/>
    </w:pPr>
  </w:style>
  <w:style w:type="character" w:styleId="FollowedHyperlink">
    <w:name w:val="FollowedHyperlink"/>
    <w:basedOn w:val="DefaultParagraphFont"/>
    <w:uiPriority w:val="99"/>
    <w:semiHidden/>
    <w:unhideWhenUsed/>
    <w:rsid w:val="0043640F"/>
    <w:rPr>
      <w:color w:val="800080" w:themeColor="followedHyperlink"/>
      <w:u w:val="single"/>
    </w:rPr>
  </w:style>
  <w:style w:type="character" w:customStyle="1" w:styleId="ListParagraphChar">
    <w:name w:val="List Paragraph Char"/>
    <w:aliases w:val="List Paragraph Bullet Char,Bulleted List Level 1 Char"/>
    <w:basedOn w:val="DefaultParagraphFont"/>
    <w:link w:val="ListParagraph"/>
    <w:uiPriority w:val="34"/>
    <w:locked/>
    <w:rsid w:val="00024486"/>
  </w:style>
  <w:style w:type="character" w:customStyle="1" w:styleId="Heading1Char">
    <w:name w:val="Heading 1 Char"/>
    <w:basedOn w:val="DefaultParagraphFont"/>
    <w:link w:val="Heading1"/>
    <w:uiPriority w:val="9"/>
    <w:rsid w:val="002927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433">
      <w:bodyDiv w:val="1"/>
      <w:marLeft w:val="0"/>
      <w:marRight w:val="0"/>
      <w:marTop w:val="0"/>
      <w:marBottom w:val="0"/>
      <w:divBdr>
        <w:top w:val="none" w:sz="0" w:space="0" w:color="auto"/>
        <w:left w:val="none" w:sz="0" w:space="0" w:color="auto"/>
        <w:bottom w:val="none" w:sz="0" w:space="0" w:color="auto"/>
        <w:right w:val="none" w:sz="0" w:space="0" w:color="auto"/>
      </w:divBdr>
      <w:divsChild>
        <w:div w:id="1032345824">
          <w:marLeft w:val="0"/>
          <w:marRight w:val="0"/>
          <w:marTop w:val="0"/>
          <w:marBottom w:val="0"/>
          <w:divBdr>
            <w:top w:val="none" w:sz="0" w:space="0" w:color="auto"/>
            <w:left w:val="none" w:sz="0" w:space="0" w:color="auto"/>
            <w:bottom w:val="none" w:sz="0" w:space="0" w:color="auto"/>
            <w:right w:val="none" w:sz="0" w:space="0" w:color="auto"/>
          </w:divBdr>
        </w:div>
        <w:div w:id="934433978">
          <w:marLeft w:val="0"/>
          <w:marRight w:val="0"/>
          <w:marTop w:val="0"/>
          <w:marBottom w:val="0"/>
          <w:divBdr>
            <w:top w:val="none" w:sz="0" w:space="0" w:color="auto"/>
            <w:left w:val="none" w:sz="0" w:space="0" w:color="auto"/>
            <w:bottom w:val="none" w:sz="0" w:space="0" w:color="auto"/>
            <w:right w:val="none" w:sz="0" w:space="0" w:color="auto"/>
          </w:divBdr>
        </w:div>
      </w:divsChild>
    </w:div>
    <w:div w:id="56175513">
      <w:bodyDiv w:val="1"/>
      <w:marLeft w:val="0"/>
      <w:marRight w:val="0"/>
      <w:marTop w:val="0"/>
      <w:marBottom w:val="0"/>
      <w:divBdr>
        <w:top w:val="none" w:sz="0" w:space="0" w:color="auto"/>
        <w:left w:val="none" w:sz="0" w:space="0" w:color="auto"/>
        <w:bottom w:val="none" w:sz="0" w:space="0" w:color="auto"/>
        <w:right w:val="none" w:sz="0" w:space="0" w:color="auto"/>
      </w:divBdr>
    </w:div>
    <w:div w:id="90637161">
      <w:bodyDiv w:val="1"/>
      <w:marLeft w:val="0"/>
      <w:marRight w:val="0"/>
      <w:marTop w:val="0"/>
      <w:marBottom w:val="0"/>
      <w:divBdr>
        <w:top w:val="none" w:sz="0" w:space="0" w:color="auto"/>
        <w:left w:val="none" w:sz="0" w:space="0" w:color="auto"/>
        <w:bottom w:val="none" w:sz="0" w:space="0" w:color="auto"/>
        <w:right w:val="none" w:sz="0" w:space="0" w:color="auto"/>
      </w:divBdr>
    </w:div>
    <w:div w:id="109055427">
      <w:bodyDiv w:val="1"/>
      <w:marLeft w:val="0"/>
      <w:marRight w:val="0"/>
      <w:marTop w:val="0"/>
      <w:marBottom w:val="0"/>
      <w:divBdr>
        <w:top w:val="none" w:sz="0" w:space="0" w:color="auto"/>
        <w:left w:val="none" w:sz="0" w:space="0" w:color="auto"/>
        <w:bottom w:val="none" w:sz="0" w:space="0" w:color="auto"/>
        <w:right w:val="none" w:sz="0" w:space="0" w:color="auto"/>
      </w:divBdr>
    </w:div>
    <w:div w:id="109786338">
      <w:bodyDiv w:val="1"/>
      <w:marLeft w:val="0"/>
      <w:marRight w:val="0"/>
      <w:marTop w:val="0"/>
      <w:marBottom w:val="0"/>
      <w:divBdr>
        <w:top w:val="none" w:sz="0" w:space="0" w:color="auto"/>
        <w:left w:val="none" w:sz="0" w:space="0" w:color="auto"/>
        <w:bottom w:val="none" w:sz="0" w:space="0" w:color="auto"/>
        <w:right w:val="none" w:sz="0" w:space="0" w:color="auto"/>
      </w:divBdr>
    </w:div>
    <w:div w:id="162091010">
      <w:bodyDiv w:val="1"/>
      <w:marLeft w:val="0"/>
      <w:marRight w:val="0"/>
      <w:marTop w:val="0"/>
      <w:marBottom w:val="0"/>
      <w:divBdr>
        <w:top w:val="none" w:sz="0" w:space="0" w:color="auto"/>
        <w:left w:val="none" w:sz="0" w:space="0" w:color="auto"/>
        <w:bottom w:val="none" w:sz="0" w:space="0" w:color="auto"/>
        <w:right w:val="none" w:sz="0" w:space="0" w:color="auto"/>
      </w:divBdr>
    </w:div>
    <w:div w:id="165169322">
      <w:bodyDiv w:val="1"/>
      <w:marLeft w:val="0"/>
      <w:marRight w:val="0"/>
      <w:marTop w:val="0"/>
      <w:marBottom w:val="0"/>
      <w:divBdr>
        <w:top w:val="none" w:sz="0" w:space="0" w:color="auto"/>
        <w:left w:val="none" w:sz="0" w:space="0" w:color="auto"/>
        <w:bottom w:val="none" w:sz="0" w:space="0" w:color="auto"/>
        <w:right w:val="none" w:sz="0" w:space="0" w:color="auto"/>
      </w:divBdr>
      <w:divsChild>
        <w:div w:id="698703187">
          <w:marLeft w:val="0"/>
          <w:marRight w:val="0"/>
          <w:marTop w:val="0"/>
          <w:marBottom w:val="0"/>
          <w:divBdr>
            <w:top w:val="none" w:sz="0" w:space="0" w:color="auto"/>
            <w:left w:val="none" w:sz="0" w:space="0" w:color="auto"/>
            <w:bottom w:val="none" w:sz="0" w:space="0" w:color="auto"/>
            <w:right w:val="none" w:sz="0" w:space="0" w:color="auto"/>
          </w:divBdr>
          <w:divsChild>
            <w:div w:id="622616750">
              <w:marLeft w:val="0"/>
              <w:marRight w:val="0"/>
              <w:marTop w:val="105"/>
              <w:marBottom w:val="0"/>
              <w:divBdr>
                <w:top w:val="none" w:sz="0" w:space="0" w:color="auto"/>
                <w:left w:val="none" w:sz="0" w:space="0" w:color="auto"/>
                <w:bottom w:val="none" w:sz="0" w:space="0" w:color="auto"/>
                <w:right w:val="none" w:sz="0" w:space="0" w:color="auto"/>
              </w:divBdr>
            </w:div>
          </w:divsChild>
        </w:div>
        <w:div w:id="776483902">
          <w:marLeft w:val="0"/>
          <w:marRight w:val="0"/>
          <w:marTop w:val="0"/>
          <w:marBottom w:val="0"/>
          <w:divBdr>
            <w:top w:val="none" w:sz="0" w:space="0" w:color="auto"/>
            <w:left w:val="none" w:sz="0" w:space="0" w:color="auto"/>
            <w:bottom w:val="none" w:sz="0" w:space="0" w:color="auto"/>
            <w:right w:val="none" w:sz="0" w:space="0" w:color="auto"/>
          </w:divBdr>
          <w:divsChild>
            <w:div w:id="1563058791">
              <w:marLeft w:val="0"/>
              <w:marRight w:val="0"/>
              <w:marTop w:val="105"/>
              <w:marBottom w:val="0"/>
              <w:divBdr>
                <w:top w:val="none" w:sz="0" w:space="0" w:color="auto"/>
                <w:left w:val="none" w:sz="0" w:space="0" w:color="auto"/>
                <w:bottom w:val="none" w:sz="0" w:space="0" w:color="auto"/>
                <w:right w:val="none" w:sz="0" w:space="0" w:color="auto"/>
              </w:divBdr>
            </w:div>
          </w:divsChild>
        </w:div>
        <w:div w:id="1672904327">
          <w:marLeft w:val="0"/>
          <w:marRight w:val="0"/>
          <w:marTop w:val="0"/>
          <w:marBottom w:val="0"/>
          <w:divBdr>
            <w:top w:val="none" w:sz="0" w:space="0" w:color="auto"/>
            <w:left w:val="none" w:sz="0" w:space="0" w:color="auto"/>
            <w:bottom w:val="none" w:sz="0" w:space="0" w:color="auto"/>
            <w:right w:val="none" w:sz="0" w:space="0" w:color="auto"/>
          </w:divBdr>
          <w:divsChild>
            <w:div w:id="992952253">
              <w:marLeft w:val="0"/>
              <w:marRight w:val="0"/>
              <w:marTop w:val="105"/>
              <w:marBottom w:val="0"/>
              <w:divBdr>
                <w:top w:val="none" w:sz="0" w:space="0" w:color="auto"/>
                <w:left w:val="none" w:sz="0" w:space="0" w:color="auto"/>
                <w:bottom w:val="none" w:sz="0" w:space="0" w:color="auto"/>
                <w:right w:val="none" w:sz="0" w:space="0" w:color="auto"/>
              </w:divBdr>
              <w:divsChild>
                <w:div w:id="1116607944">
                  <w:marLeft w:val="0"/>
                  <w:marRight w:val="0"/>
                  <w:marTop w:val="0"/>
                  <w:marBottom w:val="0"/>
                  <w:divBdr>
                    <w:top w:val="none" w:sz="0" w:space="0" w:color="auto"/>
                    <w:left w:val="none" w:sz="0" w:space="0" w:color="auto"/>
                    <w:bottom w:val="none" w:sz="0" w:space="0" w:color="auto"/>
                    <w:right w:val="none" w:sz="0" w:space="0" w:color="auto"/>
                  </w:divBdr>
                  <w:divsChild>
                    <w:div w:id="1177232725">
                      <w:marLeft w:val="0"/>
                      <w:marRight w:val="0"/>
                      <w:marTop w:val="0"/>
                      <w:marBottom w:val="0"/>
                      <w:divBdr>
                        <w:top w:val="none" w:sz="0" w:space="0" w:color="auto"/>
                        <w:left w:val="none" w:sz="0" w:space="0" w:color="auto"/>
                        <w:bottom w:val="none" w:sz="0" w:space="0" w:color="auto"/>
                        <w:right w:val="none" w:sz="0" w:space="0" w:color="auto"/>
                      </w:divBdr>
                    </w:div>
                    <w:div w:id="9248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6945">
          <w:marLeft w:val="0"/>
          <w:marRight w:val="0"/>
          <w:marTop w:val="105"/>
          <w:marBottom w:val="0"/>
          <w:divBdr>
            <w:top w:val="none" w:sz="0" w:space="0" w:color="auto"/>
            <w:left w:val="none" w:sz="0" w:space="0" w:color="auto"/>
            <w:bottom w:val="none" w:sz="0" w:space="0" w:color="auto"/>
            <w:right w:val="none" w:sz="0" w:space="0" w:color="auto"/>
          </w:divBdr>
        </w:div>
      </w:divsChild>
    </w:div>
    <w:div w:id="168831253">
      <w:bodyDiv w:val="1"/>
      <w:marLeft w:val="0"/>
      <w:marRight w:val="0"/>
      <w:marTop w:val="0"/>
      <w:marBottom w:val="0"/>
      <w:divBdr>
        <w:top w:val="none" w:sz="0" w:space="0" w:color="auto"/>
        <w:left w:val="none" w:sz="0" w:space="0" w:color="auto"/>
        <w:bottom w:val="none" w:sz="0" w:space="0" w:color="auto"/>
        <w:right w:val="none" w:sz="0" w:space="0" w:color="auto"/>
      </w:divBdr>
    </w:div>
    <w:div w:id="203716310">
      <w:bodyDiv w:val="1"/>
      <w:marLeft w:val="0"/>
      <w:marRight w:val="0"/>
      <w:marTop w:val="0"/>
      <w:marBottom w:val="0"/>
      <w:divBdr>
        <w:top w:val="none" w:sz="0" w:space="0" w:color="auto"/>
        <w:left w:val="none" w:sz="0" w:space="0" w:color="auto"/>
        <w:bottom w:val="none" w:sz="0" w:space="0" w:color="auto"/>
        <w:right w:val="none" w:sz="0" w:space="0" w:color="auto"/>
      </w:divBdr>
    </w:div>
    <w:div w:id="221797311">
      <w:bodyDiv w:val="1"/>
      <w:marLeft w:val="0"/>
      <w:marRight w:val="0"/>
      <w:marTop w:val="0"/>
      <w:marBottom w:val="0"/>
      <w:divBdr>
        <w:top w:val="none" w:sz="0" w:space="0" w:color="auto"/>
        <w:left w:val="none" w:sz="0" w:space="0" w:color="auto"/>
        <w:bottom w:val="none" w:sz="0" w:space="0" w:color="auto"/>
        <w:right w:val="none" w:sz="0" w:space="0" w:color="auto"/>
      </w:divBdr>
    </w:div>
    <w:div w:id="237332240">
      <w:bodyDiv w:val="1"/>
      <w:marLeft w:val="0"/>
      <w:marRight w:val="0"/>
      <w:marTop w:val="0"/>
      <w:marBottom w:val="0"/>
      <w:divBdr>
        <w:top w:val="none" w:sz="0" w:space="0" w:color="auto"/>
        <w:left w:val="none" w:sz="0" w:space="0" w:color="auto"/>
        <w:bottom w:val="none" w:sz="0" w:space="0" w:color="auto"/>
        <w:right w:val="none" w:sz="0" w:space="0" w:color="auto"/>
      </w:divBdr>
    </w:div>
    <w:div w:id="259678025">
      <w:bodyDiv w:val="1"/>
      <w:marLeft w:val="0"/>
      <w:marRight w:val="0"/>
      <w:marTop w:val="0"/>
      <w:marBottom w:val="0"/>
      <w:divBdr>
        <w:top w:val="none" w:sz="0" w:space="0" w:color="auto"/>
        <w:left w:val="none" w:sz="0" w:space="0" w:color="auto"/>
        <w:bottom w:val="none" w:sz="0" w:space="0" w:color="auto"/>
        <w:right w:val="none" w:sz="0" w:space="0" w:color="auto"/>
      </w:divBdr>
    </w:div>
    <w:div w:id="312682104">
      <w:bodyDiv w:val="1"/>
      <w:marLeft w:val="0"/>
      <w:marRight w:val="0"/>
      <w:marTop w:val="0"/>
      <w:marBottom w:val="0"/>
      <w:divBdr>
        <w:top w:val="none" w:sz="0" w:space="0" w:color="auto"/>
        <w:left w:val="none" w:sz="0" w:space="0" w:color="auto"/>
        <w:bottom w:val="none" w:sz="0" w:space="0" w:color="auto"/>
        <w:right w:val="none" w:sz="0" w:space="0" w:color="auto"/>
      </w:divBdr>
    </w:div>
    <w:div w:id="372581920">
      <w:bodyDiv w:val="1"/>
      <w:marLeft w:val="0"/>
      <w:marRight w:val="0"/>
      <w:marTop w:val="0"/>
      <w:marBottom w:val="0"/>
      <w:divBdr>
        <w:top w:val="none" w:sz="0" w:space="0" w:color="auto"/>
        <w:left w:val="none" w:sz="0" w:space="0" w:color="auto"/>
        <w:bottom w:val="none" w:sz="0" w:space="0" w:color="auto"/>
        <w:right w:val="none" w:sz="0" w:space="0" w:color="auto"/>
      </w:divBdr>
    </w:div>
    <w:div w:id="516307928">
      <w:bodyDiv w:val="1"/>
      <w:marLeft w:val="0"/>
      <w:marRight w:val="0"/>
      <w:marTop w:val="0"/>
      <w:marBottom w:val="0"/>
      <w:divBdr>
        <w:top w:val="none" w:sz="0" w:space="0" w:color="auto"/>
        <w:left w:val="none" w:sz="0" w:space="0" w:color="auto"/>
        <w:bottom w:val="none" w:sz="0" w:space="0" w:color="auto"/>
        <w:right w:val="none" w:sz="0" w:space="0" w:color="auto"/>
      </w:divBdr>
    </w:div>
    <w:div w:id="568031071">
      <w:bodyDiv w:val="1"/>
      <w:marLeft w:val="0"/>
      <w:marRight w:val="0"/>
      <w:marTop w:val="0"/>
      <w:marBottom w:val="0"/>
      <w:divBdr>
        <w:top w:val="none" w:sz="0" w:space="0" w:color="auto"/>
        <w:left w:val="none" w:sz="0" w:space="0" w:color="auto"/>
        <w:bottom w:val="none" w:sz="0" w:space="0" w:color="auto"/>
        <w:right w:val="none" w:sz="0" w:space="0" w:color="auto"/>
      </w:divBdr>
      <w:divsChild>
        <w:div w:id="1015963849">
          <w:marLeft w:val="0"/>
          <w:marRight w:val="0"/>
          <w:marTop w:val="0"/>
          <w:marBottom w:val="0"/>
          <w:divBdr>
            <w:top w:val="none" w:sz="0" w:space="0" w:color="auto"/>
            <w:left w:val="none" w:sz="0" w:space="0" w:color="auto"/>
            <w:bottom w:val="none" w:sz="0" w:space="0" w:color="auto"/>
            <w:right w:val="none" w:sz="0" w:space="0" w:color="auto"/>
          </w:divBdr>
        </w:div>
        <w:div w:id="949046026">
          <w:marLeft w:val="0"/>
          <w:marRight w:val="0"/>
          <w:marTop w:val="0"/>
          <w:marBottom w:val="0"/>
          <w:divBdr>
            <w:top w:val="none" w:sz="0" w:space="0" w:color="auto"/>
            <w:left w:val="none" w:sz="0" w:space="0" w:color="auto"/>
            <w:bottom w:val="none" w:sz="0" w:space="0" w:color="auto"/>
            <w:right w:val="none" w:sz="0" w:space="0" w:color="auto"/>
          </w:divBdr>
          <w:divsChild>
            <w:div w:id="402921408">
              <w:marLeft w:val="0"/>
              <w:marRight w:val="0"/>
              <w:marTop w:val="105"/>
              <w:marBottom w:val="0"/>
              <w:divBdr>
                <w:top w:val="none" w:sz="0" w:space="0" w:color="auto"/>
                <w:left w:val="none" w:sz="0" w:space="0" w:color="auto"/>
                <w:bottom w:val="none" w:sz="0" w:space="0" w:color="auto"/>
                <w:right w:val="none" w:sz="0" w:space="0" w:color="auto"/>
              </w:divBdr>
            </w:div>
          </w:divsChild>
        </w:div>
        <w:div w:id="596257168">
          <w:marLeft w:val="0"/>
          <w:marRight w:val="0"/>
          <w:marTop w:val="0"/>
          <w:marBottom w:val="0"/>
          <w:divBdr>
            <w:top w:val="none" w:sz="0" w:space="0" w:color="auto"/>
            <w:left w:val="none" w:sz="0" w:space="0" w:color="auto"/>
            <w:bottom w:val="none" w:sz="0" w:space="0" w:color="auto"/>
            <w:right w:val="none" w:sz="0" w:space="0" w:color="auto"/>
          </w:divBdr>
          <w:divsChild>
            <w:div w:id="1854144906">
              <w:marLeft w:val="0"/>
              <w:marRight w:val="0"/>
              <w:marTop w:val="105"/>
              <w:marBottom w:val="0"/>
              <w:divBdr>
                <w:top w:val="none" w:sz="0" w:space="0" w:color="auto"/>
                <w:left w:val="none" w:sz="0" w:space="0" w:color="auto"/>
                <w:bottom w:val="none" w:sz="0" w:space="0" w:color="auto"/>
                <w:right w:val="none" w:sz="0" w:space="0" w:color="auto"/>
              </w:divBdr>
            </w:div>
          </w:divsChild>
        </w:div>
        <w:div w:id="1710301255">
          <w:marLeft w:val="0"/>
          <w:marRight w:val="0"/>
          <w:marTop w:val="0"/>
          <w:marBottom w:val="0"/>
          <w:divBdr>
            <w:top w:val="none" w:sz="0" w:space="0" w:color="auto"/>
            <w:left w:val="none" w:sz="0" w:space="0" w:color="auto"/>
            <w:bottom w:val="none" w:sz="0" w:space="0" w:color="auto"/>
            <w:right w:val="none" w:sz="0" w:space="0" w:color="auto"/>
          </w:divBdr>
          <w:divsChild>
            <w:div w:id="2001228812">
              <w:marLeft w:val="0"/>
              <w:marRight w:val="0"/>
              <w:marTop w:val="105"/>
              <w:marBottom w:val="0"/>
              <w:divBdr>
                <w:top w:val="none" w:sz="0" w:space="0" w:color="auto"/>
                <w:left w:val="none" w:sz="0" w:space="0" w:color="auto"/>
                <w:bottom w:val="none" w:sz="0" w:space="0" w:color="auto"/>
                <w:right w:val="none" w:sz="0" w:space="0" w:color="auto"/>
              </w:divBdr>
              <w:divsChild>
                <w:div w:id="1385832823">
                  <w:marLeft w:val="0"/>
                  <w:marRight w:val="0"/>
                  <w:marTop w:val="0"/>
                  <w:marBottom w:val="0"/>
                  <w:divBdr>
                    <w:top w:val="none" w:sz="0" w:space="0" w:color="auto"/>
                    <w:left w:val="none" w:sz="0" w:space="0" w:color="auto"/>
                    <w:bottom w:val="none" w:sz="0" w:space="0" w:color="auto"/>
                    <w:right w:val="none" w:sz="0" w:space="0" w:color="auto"/>
                  </w:divBdr>
                  <w:divsChild>
                    <w:div w:id="180749720">
                      <w:marLeft w:val="0"/>
                      <w:marRight w:val="0"/>
                      <w:marTop w:val="0"/>
                      <w:marBottom w:val="0"/>
                      <w:divBdr>
                        <w:top w:val="none" w:sz="0" w:space="0" w:color="auto"/>
                        <w:left w:val="none" w:sz="0" w:space="0" w:color="auto"/>
                        <w:bottom w:val="none" w:sz="0" w:space="0" w:color="auto"/>
                        <w:right w:val="none" w:sz="0" w:space="0" w:color="auto"/>
                      </w:divBdr>
                    </w:div>
                    <w:div w:id="7058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2004">
          <w:marLeft w:val="0"/>
          <w:marRight w:val="0"/>
          <w:marTop w:val="105"/>
          <w:marBottom w:val="0"/>
          <w:divBdr>
            <w:top w:val="none" w:sz="0" w:space="0" w:color="auto"/>
            <w:left w:val="none" w:sz="0" w:space="0" w:color="auto"/>
            <w:bottom w:val="none" w:sz="0" w:space="0" w:color="auto"/>
            <w:right w:val="none" w:sz="0" w:space="0" w:color="auto"/>
          </w:divBdr>
        </w:div>
      </w:divsChild>
    </w:div>
    <w:div w:id="568805927">
      <w:bodyDiv w:val="1"/>
      <w:marLeft w:val="0"/>
      <w:marRight w:val="0"/>
      <w:marTop w:val="0"/>
      <w:marBottom w:val="0"/>
      <w:divBdr>
        <w:top w:val="none" w:sz="0" w:space="0" w:color="auto"/>
        <w:left w:val="none" w:sz="0" w:space="0" w:color="auto"/>
        <w:bottom w:val="none" w:sz="0" w:space="0" w:color="auto"/>
        <w:right w:val="none" w:sz="0" w:space="0" w:color="auto"/>
      </w:divBdr>
    </w:div>
    <w:div w:id="753550234">
      <w:bodyDiv w:val="1"/>
      <w:marLeft w:val="0"/>
      <w:marRight w:val="0"/>
      <w:marTop w:val="0"/>
      <w:marBottom w:val="0"/>
      <w:divBdr>
        <w:top w:val="none" w:sz="0" w:space="0" w:color="auto"/>
        <w:left w:val="none" w:sz="0" w:space="0" w:color="auto"/>
        <w:bottom w:val="none" w:sz="0" w:space="0" w:color="auto"/>
        <w:right w:val="none" w:sz="0" w:space="0" w:color="auto"/>
      </w:divBdr>
    </w:div>
    <w:div w:id="770783303">
      <w:bodyDiv w:val="1"/>
      <w:marLeft w:val="0"/>
      <w:marRight w:val="0"/>
      <w:marTop w:val="0"/>
      <w:marBottom w:val="0"/>
      <w:divBdr>
        <w:top w:val="none" w:sz="0" w:space="0" w:color="auto"/>
        <w:left w:val="none" w:sz="0" w:space="0" w:color="auto"/>
        <w:bottom w:val="none" w:sz="0" w:space="0" w:color="auto"/>
        <w:right w:val="none" w:sz="0" w:space="0" w:color="auto"/>
      </w:divBdr>
    </w:div>
    <w:div w:id="779834567">
      <w:bodyDiv w:val="1"/>
      <w:marLeft w:val="0"/>
      <w:marRight w:val="0"/>
      <w:marTop w:val="0"/>
      <w:marBottom w:val="0"/>
      <w:divBdr>
        <w:top w:val="none" w:sz="0" w:space="0" w:color="auto"/>
        <w:left w:val="none" w:sz="0" w:space="0" w:color="auto"/>
        <w:bottom w:val="none" w:sz="0" w:space="0" w:color="auto"/>
        <w:right w:val="none" w:sz="0" w:space="0" w:color="auto"/>
      </w:divBdr>
    </w:div>
    <w:div w:id="795876574">
      <w:bodyDiv w:val="1"/>
      <w:marLeft w:val="0"/>
      <w:marRight w:val="0"/>
      <w:marTop w:val="0"/>
      <w:marBottom w:val="0"/>
      <w:divBdr>
        <w:top w:val="none" w:sz="0" w:space="0" w:color="auto"/>
        <w:left w:val="none" w:sz="0" w:space="0" w:color="auto"/>
        <w:bottom w:val="none" w:sz="0" w:space="0" w:color="auto"/>
        <w:right w:val="none" w:sz="0" w:space="0" w:color="auto"/>
      </w:divBdr>
    </w:div>
    <w:div w:id="798033062">
      <w:bodyDiv w:val="1"/>
      <w:marLeft w:val="0"/>
      <w:marRight w:val="0"/>
      <w:marTop w:val="0"/>
      <w:marBottom w:val="0"/>
      <w:divBdr>
        <w:top w:val="none" w:sz="0" w:space="0" w:color="auto"/>
        <w:left w:val="none" w:sz="0" w:space="0" w:color="auto"/>
        <w:bottom w:val="none" w:sz="0" w:space="0" w:color="auto"/>
        <w:right w:val="none" w:sz="0" w:space="0" w:color="auto"/>
      </w:divBdr>
    </w:div>
    <w:div w:id="814835622">
      <w:bodyDiv w:val="1"/>
      <w:marLeft w:val="0"/>
      <w:marRight w:val="0"/>
      <w:marTop w:val="0"/>
      <w:marBottom w:val="0"/>
      <w:divBdr>
        <w:top w:val="none" w:sz="0" w:space="0" w:color="auto"/>
        <w:left w:val="none" w:sz="0" w:space="0" w:color="auto"/>
        <w:bottom w:val="none" w:sz="0" w:space="0" w:color="auto"/>
        <w:right w:val="none" w:sz="0" w:space="0" w:color="auto"/>
      </w:divBdr>
    </w:div>
    <w:div w:id="830832473">
      <w:bodyDiv w:val="1"/>
      <w:marLeft w:val="0"/>
      <w:marRight w:val="0"/>
      <w:marTop w:val="0"/>
      <w:marBottom w:val="0"/>
      <w:divBdr>
        <w:top w:val="none" w:sz="0" w:space="0" w:color="auto"/>
        <w:left w:val="none" w:sz="0" w:space="0" w:color="auto"/>
        <w:bottom w:val="none" w:sz="0" w:space="0" w:color="auto"/>
        <w:right w:val="none" w:sz="0" w:space="0" w:color="auto"/>
      </w:divBdr>
    </w:div>
    <w:div w:id="834800535">
      <w:bodyDiv w:val="1"/>
      <w:marLeft w:val="0"/>
      <w:marRight w:val="0"/>
      <w:marTop w:val="0"/>
      <w:marBottom w:val="0"/>
      <w:divBdr>
        <w:top w:val="none" w:sz="0" w:space="0" w:color="auto"/>
        <w:left w:val="none" w:sz="0" w:space="0" w:color="auto"/>
        <w:bottom w:val="none" w:sz="0" w:space="0" w:color="auto"/>
        <w:right w:val="none" w:sz="0" w:space="0" w:color="auto"/>
      </w:divBdr>
    </w:div>
    <w:div w:id="969670857">
      <w:bodyDiv w:val="1"/>
      <w:marLeft w:val="0"/>
      <w:marRight w:val="0"/>
      <w:marTop w:val="0"/>
      <w:marBottom w:val="0"/>
      <w:divBdr>
        <w:top w:val="none" w:sz="0" w:space="0" w:color="auto"/>
        <w:left w:val="none" w:sz="0" w:space="0" w:color="auto"/>
        <w:bottom w:val="none" w:sz="0" w:space="0" w:color="auto"/>
        <w:right w:val="none" w:sz="0" w:space="0" w:color="auto"/>
      </w:divBdr>
    </w:div>
    <w:div w:id="981233737">
      <w:bodyDiv w:val="1"/>
      <w:marLeft w:val="0"/>
      <w:marRight w:val="0"/>
      <w:marTop w:val="0"/>
      <w:marBottom w:val="0"/>
      <w:divBdr>
        <w:top w:val="none" w:sz="0" w:space="0" w:color="auto"/>
        <w:left w:val="none" w:sz="0" w:space="0" w:color="auto"/>
        <w:bottom w:val="none" w:sz="0" w:space="0" w:color="auto"/>
        <w:right w:val="none" w:sz="0" w:space="0" w:color="auto"/>
      </w:divBdr>
    </w:div>
    <w:div w:id="1027294870">
      <w:bodyDiv w:val="1"/>
      <w:marLeft w:val="0"/>
      <w:marRight w:val="0"/>
      <w:marTop w:val="0"/>
      <w:marBottom w:val="0"/>
      <w:divBdr>
        <w:top w:val="none" w:sz="0" w:space="0" w:color="auto"/>
        <w:left w:val="none" w:sz="0" w:space="0" w:color="auto"/>
        <w:bottom w:val="none" w:sz="0" w:space="0" w:color="auto"/>
        <w:right w:val="none" w:sz="0" w:space="0" w:color="auto"/>
      </w:divBdr>
      <w:divsChild>
        <w:div w:id="1391348911">
          <w:marLeft w:val="0"/>
          <w:marRight w:val="0"/>
          <w:marTop w:val="0"/>
          <w:marBottom w:val="0"/>
          <w:divBdr>
            <w:top w:val="none" w:sz="0" w:space="0" w:color="auto"/>
            <w:left w:val="none" w:sz="0" w:space="0" w:color="auto"/>
            <w:bottom w:val="none" w:sz="0" w:space="0" w:color="auto"/>
            <w:right w:val="none" w:sz="0" w:space="0" w:color="auto"/>
          </w:divBdr>
        </w:div>
        <w:div w:id="2038695936">
          <w:marLeft w:val="0"/>
          <w:marRight w:val="0"/>
          <w:marTop w:val="0"/>
          <w:marBottom w:val="0"/>
          <w:divBdr>
            <w:top w:val="none" w:sz="0" w:space="0" w:color="auto"/>
            <w:left w:val="none" w:sz="0" w:space="0" w:color="auto"/>
            <w:bottom w:val="none" w:sz="0" w:space="0" w:color="auto"/>
            <w:right w:val="none" w:sz="0" w:space="0" w:color="auto"/>
          </w:divBdr>
        </w:div>
        <w:div w:id="1772701260">
          <w:marLeft w:val="0"/>
          <w:marRight w:val="0"/>
          <w:marTop w:val="0"/>
          <w:marBottom w:val="0"/>
          <w:divBdr>
            <w:top w:val="none" w:sz="0" w:space="0" w:color="auto"/>
            <w:left w:val="none" w:sz="0" w:space="0" w:color="auto"/>
            <w:bottom w:val="none" w:sz="0" w:space="0" w:color="auto"/>
            <w:right w:val="none" w:sz="0" w:space="0" w:color="auto"/>
          </w:divBdr>
        </w:div>
        <w:div w:id="2012489926">
          <w:marLeft w:val="0"/>
          <w:marRight w:val="0"/>
          <w:marTop w:val="0"/>
          <w:marBottom w:val="0"/>
          <w:divBdr>
            <w:top w:val="none" w:sz="0" w:space="0" w:color="auto"/>
            <w:left w:val="none" w:sz="0" w:space="0" w:color="auto"/>
            <w:bottom w:val="none" w:sz="0" w:space="0" w:color="auto"/>
            <w:right w:val="none" w:sz="0" w:space="0" w:color="auto"/>
          </w:divBdr>
        </w:div>
      </w:divsChild>
    </w:div>
    <w:div w:id="1049039871">
      <w:bodyDiv w:val="1"/>
      <w:marLeft w:val="0"/>
      <w:marRight w:val="0"/>
      <w:marTop w:val="0"/>
      <w:marBottom w:val="0"/>
      <w:divBdr>
        <w:top w:val="none" w:sz="0" w:space="0" w:color="auto"/>
        <w:left w:val="none" w:sz="0" w:space="0" w:color="auto"/>
        <w:bottom w:val="none" w:sz="0" w:space="0" w:color="auto"/>
        <w:right w:val="none" w:sz="0" w:space="0" w:color="auto"/>
      </w:divBdr>
    </w:div>
    <w:div w:id="1075586134">
      <w:bodyDiv w:val="1"/>
      <w:marLeft w:val="0"/>
      <w:marRight w:val="0"/>
      <w:marTop w:val="0"/>
      <w:marBottom w:val="0"/>
      <w:divBdr>
        <w:top w:val="none" w:sz="0" w:space="0" w:color="auto"/>
        <w:left w:val="none" w:sz="0" w:space="0" w:color="auto"/>
        <w:bottom w:val="none" w:sz="0" w:space="0" w:color="auto"/>
        <w:right w:val="none" w:sz="0" w:space="0" w:color="auto"/>
      </w:divBdr>
    </w:div>
    <w:div w:id="1096440514">
      <w:bodyDiv w:val="1"/>
      <w:marLeft w:val="0"/>
      <w:marRight w:val="0"/>
      <w:marTop w:val="0"/>
      <w:marBottom w:val="0"/>
      <w:divBdr>
        <w:top w:val="none" w:sz="0" w:space="0" w:color="auto"/>
        <w:left w:val="none" w:sz="0" w:space="0" w:color="auto"/>
        <w:bottom w:val="none" w:sz="0" w:space="0" w:color="auto"/>
        <w:right w:val="none" w:sz="0" w:space="0" w:color="auto"/>
      </w:divBdr>
    </w:div>
    <w:div w:id="1159268962">
      <w:bodyDiv w:val="1"/>
      <w:marLeft w:val="0"/>
      <w:marRight w:val="0"/>
      <w:marTop w:val="0"/>
      <w:marBottom w:val="0"/>
      <w:divBdr>
        <w:top w:val="none" w:sz="0" w:space="0" w:color="auto"/>
        <w:left w:val="none" w:sz="0" w:space="0" w:color="auto"/>
        <w:bottom w:val="none" w:sz="0" w:space="0" w:color="auto"/>
        <w:right w:val="none" w:sz="0" w:space="0" w:color="auto"/>
      </w:divBdr>
    </w:div>
    <w:div w:id="1175606029">
      <w:bodyDiv w:val="1"/>
      <w:marLeft w:val="0"/>
      <w:marRight w:val="0"/>
      <w:marTop w:val="0"/>
      <w:marBottom w:val="0"/>
      <w:divBdr>
        <w:top w:val="none" w:sz="0" w:space="0" w:color="auto"/>
        <w:left w:val="none" w:sz="0" w:space="0" w:color="auto"/>
        <w:bottom w:val="none" w:sz="0" w:space="0" w:color="auto"/>
        <w:right w:val="none" w:sz="0" w:space="0" w:color="auto"/>
      </w:divBdr>
    </w:div>
    <w:div w:id="1183057284">
      <w:bodyDiv w:val="1"/>
      <w:marLeft w:val="0"/>
      <w:marRight w:val="0"/>
      <w:marTop w:val="0"/>
      <w:marBottom w:val="0"/>
      <w:divBdr>
        <w:top w:val="none" w:sz="0" w:space="0" w:color="auto"/>
        <w:left w:val="none" w:sz="0" w:space="0" w:color="auto"/>
        <w:bottom w:val="none" w:sz="0" w:space="0" w:color="auto"/>
        <w:right w:val="none" w:sz="0" w:space="0" w:color="auto"/>
      </w:divBdr>
    </w:div>
    <w:div w:id="1196505773">
      <w:bodyDiv w:val="1"/>
      <w:marLeft w:val="0"/>
      <w:marRight w:val="0"/>
      <w:marTop w:val="0"/>
      <w:marBottom w:val="0"/>
      <w:divBdr>
        <w:top w:val="none" w:sz="0" w:space="0" w:color="auto"/>
        <w:left w:val="none" w:sz="0" w:space="0" w:color="auto"/>
        <w:bottom w:val="none" w:sz="0" w:space="0" w:color="auto"/>
        <w:right w:val="none" w:sz="0" w:space="0" w:color="auto"/>
      </w:divBdr>
    </w:div>
    <w:div w:id="1218740205">
      <w:bodyDiv w:val="1"/>
      <w:marLeft w:val="0"/>
      <w:marRight w:val="0"/>
      <w:marTop w:val="0"/>
      <w:marBottom w:val="0"/>
      <w:divBdr>
        <w:top w:val="none" w:sz="0" w:space="0" w:color="auto"/>
        <w:left w:val="none" w:sz="0" w:space="0" w:color="auto"/>
        <w:bottom w:val="none" w:sz="0" w:space="0" w:color="auto"/>
        <w:right w:val="none" w:sz="0" w:space="0" w:color="auto"/>
      </w:divBdr>
    </w:div>
    <w:div w:id="1264848020">
      <w:bodyDiv w:val="1"/>
      <w:marLeft w:val="0"/>
      <w:marRight w:val="0"/>
      <w:marTop w:val="0"/>
      <w:marBottom w:val="0"/>
      <w:divBdr>
        <w:top w:val="none" w:sz="0" w:space="0" w:color="auto"/>
        <w:left w:val="none" w:sz="0" w:space="0" w:color="auto"/>
        <w:bottom w:val="none" w:sz="0" w:space="0" w:color="auto"/>
        <w:right w:val="none" w:sz="0" w:space="0" w:color="auto"/>
      </w:divBdr>
    </w:div>
    <w:div w:id="1328552930">
      <w:bodyDiv w:val="1"/>
      <w:marLeft w:val="0"/>
      <w:marRight w:val="0"/>
      <w:marTop w:val="0"/>
      <w:marBottom w:val="0"/>
      <w:divBdr>
        <w:top w:val="none" w:sz="0" w:space="0" w:color="auto"/>
        <w:left w:val="none" w:sz="0" w:space="0" w:color="auto"/>
        <w:bottom w:val="none" w:sz="0" w:space="0" w:color="auto"/>
        <w:right w:val="none" w:sz="0" w:space="0" w:color="auto"/>
      </w:divBdr>
    </w:div>
    <w:div w:id="1337270863">
      <w:bodyDiv w:val="1"/>
      <w:marLeft w:val="0"/>
      <w:marRight w:val="0"/>
      <w:marTop w:val="0"/>
      <w:marBottom w:val="0"/>
      <w:divBdr>
        <w:top w:val="none" w:sz="0" w:space="0" w:color="auto"/>
        <w:left w:val="none" w:sz="0" w:space="0" w:color="auto"/>
        <w:bottom w:val="none" w:sz="0" w:space="0" w:color="auto"/>
        <w:right w:val="none" w:sz="0" w:space="0" w:color="auto"/>
      </w:divBdr>
    </w:div>
    <w:div w:id="1368143131">
      <w:bodyDiv w:val="1"/>
      <w:marLeft w:val="0"/>
      <w:marRight w:val="0"/>
      <w:marTop w:val="0"/>
      <w:marBottom w:val="0"/>
      <w:divBdr>
        <w:top w:val="none" w:sz="0" w:space="0" w:color="auto"/>
        <w:left w:val="none" w:sz="0" w:space="0" w:color="auto"/>
        <w:bottom w:val="none" w:sz="0" w:space="0" w:color="auto"/>
        <w:right w:val="none" w:sz="0" w:space="0" w:color="auto"/>
      </w:divBdr>
    </w:div>
    <w:div w:id="1407148123">
      <w:bodyDiv w:val="1"/>
      <w:marLeft w:val="0"/>
      <w:marRight w:val="0"/>
      <w:marTop w:val="0"/>
      <w:marBottom w:val="0"/>
      <w:divBdr>
        <w:top w:val="none" w:sz="0" w:space="0" w:color="auto"/>
        <w:left w:val="none" w:sz="0" w:space="0" w:color="auto"/>
        <w:bottom w:val="none" w:sz="0" w:space="0" w:color="auto"/>
        <w:right w:val="none" w:sz="0" w:space="0" w:color="auto"/>
      </w:divBdr>
    </w:div>
    <w:div w:id="1496727238">
      <w:bodyDiv w:val="1"/>
      <w:marLeft w:val="0"/>
      <w:marRight w:val="0"/>
      <w:marTop w:val="0"/>
      <w:marBottom w:val="0"/>
      <w:divBdr>
        <w:top w:val="none" w:sz="0" w:space="0" w:color="auto"/>
        <w:left w:val="none" w:sz="0" w:space="0" w:color="auto"/>
        <w:bottom w:val="none" w:sz="0" w:space="0" w:color="auto"/>
        <w:right w:val="none" w:sz="0" w:space="0" w:color="auto"/>
      </w:divBdr>
    </w:div>
    <w:div w:id="1570260924">
      <w:bodyDiv w:val="1"/>
      <w:marLeft w:val="0"/>
      <w:marRight w:val="0"/>
      <w:marTop w:val="0"/>
      <w:marBottom w:val="0"/>
      <w:divBdr>
        <w:top w:val="none" w:sz="0" w:space="0" w:color="auto"/>
        <w:left w:val="none" w:sz="0" w:space="0" w:color="auto"/>
        <w:bottom w:val="none" w:sz="0" w:space="0" w:color="auto"/>
        <w:right w:val="none" w:sz="0" w:space="0" w:color="auto"/>
      </w:divBdr>
    </w:div>
    <w:div w:id="1598058529">
      <w:bodyDiv w:val="1"/>
      <w:marLeft w:val="0"/>
      <w:marRight w:val="0"/>
      <w:marTop w:val="0"/>
      <w:marBottom w:val="0"/>
      <w:divBdr>
        <w:top w:val="none" w:sz="0" w:space="0" w:color="auto"/>
        <w:left w:val="none" w:sz="0" w:space="0" w:color="auto"/>
        <w:bottom w:val="none" w:sz="0" w:space="0" w:color="auto"/>
        <w:right w:val="none" w:sz="0" w:space="0" w:color="auto"/>
      </w:divBdr>
    </w:div>
    <w:div w:id="1674601012">
      <w:bodyDiv w:val="1"/>
      <w:marLeft w:val="0"/>
      <w:marRight w:val="0"/>
      <w:marTop w:val="0"/>
      <w:marBottom w:val="0"/>
      <w:divBdr>
        <w:top w:val="none" w:sz="0" w:space="0" w:color="auto"/>
        <w:left w:val="none" w:sz="0" w:space="0" w:color="auto"/>
        <w:bottom w:val="none" w:sz="0" w:space="0" w:color="auto"/>
        <w:right w:val="none" w:sz="0" w:space="0" w:color="auto"/>
      </w:divBdr>
    </w:div>
    <w:div w:id="1708918790">
      <w:bodyDiv w:val="1"/>
      <w:marLeft w:val="0"/>
      <w:marRight w:val="0"/>
      <w:marTop w:val="0"/>
      <w:marBottom w:val="0"/>
      <w:divBdr>
        <w:top w:val="none" w:sz="0" w:space="0" w:color="auto"/>
        <w:left w:val="none" w:sz="0" w:space="0" w:color="auto"/>
        <w:bottom w:val="none" w:sz="0" w:space="0" w:color="auto"/>
        <w:right w:val="none" w:sz="0" w:space="0" w:color="auto"/>
      </w:divBdr>
    </w:div>
    <w:div w:id="1779832502">
      <w:bodyDiv w:val="1"/>
      <w:marLeft w:val="0"/>
      <w:marRight w:val="0"/>
      <w:marTop w:val="0"/>
      <w:marBottom w:val="0"/>
      <w:divBdr>
        <w:top w:val="none" w:sz="0" w:space="0" w:color="auto"/>
        <w:left w:val="none" w:sz="0" w:space="0" w:color="auto"/>
        <w:bottom w:val="none" w:sz="0" w:space="0" w:color="auto"/>
        <w:right w:val="none" w:sz="0" w:space="0" w:color="auto"/>
      </w:divBdr>
    </w:div>
    <w:div w:id="1831364414">
      <w:bodyDiv w:val="1"/>
      <w:marLeft w:val="0"/>
      <w:marRight w:val="0"/>
      <w:marTop w:val="0"/>
      <w:marBottom w:val="0"/>
      <w:divBdr>
        <w:top w:val="none" w:sz="0" w:space="0" w:color="auto"/>
        <w:left w:val="none" w:sz="0" w:space="0" w:color="auto"/>
        <w:bottom w:val="none" w:sz="0" w:space="0" w:color="auto"/>
        <w:right w:val="none" w:sz="0" w:space="0" w:color="auto"/>
      </w:divBdr>
      <w:divsChild>
        <w:div w:id="1523473717">
          <w:marLeft w:val="0"/>
          <w:marRight w:val="0"/>
          <w:marTop w:val="0"/>
          <w:marBottom w:val="0"/>
          <w:divBdr>
            <w:top w:val="none" w:sz="0" w:space="0" w:color="auto"/>
            <w:left w:val="none" w:sz="0" w:space="0" w:color="auto"/>
            <w:bottom w:val="none" w:sz="0" w:space="0" w:color="auto"/>
            <w:right w:val="none" w:sz="0" w:space="0" w:color="auto"/>
          </w:divBdr>
        </w:div>
      </w:divsChild>
    </w:div>
    <w:div w:id="1836603294">
      <w:bodyDiv w:val="1"/>
      <w:marLeft w:val="0"/>
      <w:marRight w:val="0"/>
      <w:marTop w:val="0"/>
      <w:marBottom w:val="0"/>
      <w:divBdr>
        <w:top w:val="none" w:sz="0" w:space="0" w:color="auto"/>
        <w:left w:val="none" w:sz="0" w:space="0" w:color="auto"/>
        <w:bottom w:val="none" w:sz="0" w:space="0" w:color="auto"/>
        <w:right w:val="none" w:sz="0" w:space="0" w:color="auto"/>
      </w:divBdr>
    </w:div>
    <w:div w:id="1883588155">
      <w:bodyDiv w:val="1"/>
      <w:marLeft w:val="0"/>
      <w:marRight w:val="0"/>
      <w:marTop w:val="0"/>
      <w:marBottom w:val="0"/>
      <w:divBdr>
        <w:top w:val="none" w:sz="0" w:space="0" w:color="auto"/>
        <w:left w:val="none" w:sz="0" w:space="0" w:color="auto"/>
        <w:bottom w:val="none" w:sz="0" w:space="0" w:color="auto"/>
        <w:right w:val="none" w:sz="0" w:space="0" w:color="auto"/>
      </w:divBdr>
    </w:div>
    <w:div w:id="2011178231">
      <w:bodyDiv w:val="1"/>
      <w:marLeft w:val="0"/>
      <w:marRight w:val="0"/>
      <w:marTop w:val="0"/>
      <w:marBottom w:val="0"/>
      <w:divBdr>
        <w:top w:val="none" w:sz="0" w:space="0" w:color="auto"/>
        <w:left w:val="none" w:sz="0" w:space="0" w:color="auto"/>
        <w:bottom w:val="none" w:sz="0" w:space="0" w:color="auto"/>
        <w:right w:val="none" w:sz="0" w:space="0" w:color="auto"/>
      </w:divBdr>
    </w:div>
    <w:div w:id="2036038357">
      <w:bodyDiv w:val="1"/>
      <w:marLeft w:val="0"/>
      <w:marRight w:val="0"/>
      <w:marTop w:val="0"/>
      <w:marBottom w:val="0"/>
      <w:divBdr>
        <w:top w:val="none" w:sz="0" w:space="0" w:color="auto"/>
        <w:left w:val="none" w:sz="0" w:space="0" w:color="auto"/>
        <w:bottom w:val="none" w:sz="0" w:space="0" w:color="auto"/>
        <w:right w:val="none" w:sz="0" w:space="0" w:color="auto"/>
      </w:divBdr>
    </w:div>
    <w:div w:id="2039043955">
      <w:bodyDiv w:val="1"/>
      <w:marLeft w:val="0"/>
      <w:marRight w:val="0"/>
      <w:marTop w:val="0"/>
      <w:marBottom w:val="0"/>
      <w:divBdr>
        <w:top w:val="none" w:sz="0" w:space="0" w:color="auto"/>
        <w:left w:val="none" w:sz="0" w:space="0" w:color="auto"/>
        <w:bottom w:val="none" w:sz="0" w:space="0" w:color="auto"/>
        <w:right w:val="none" w:sz="0" w:space="0" w:color="auto"/>
      </w:divBdr>
      <w:divsChild>
        <w:div w:id="1193571781">
          <w:marLeft w:val="0"/>
          <w:marRight w:val="0"/>
          <w:marTop w:val="0"/>
          <w:marBottom w:val="0"/>
          <w:divBdr>
            <w:top w:val="none" w:sz="0" w:space="0" w:color="auto"/>
            <w:left w:val="none" w:sz="0" w:space="0" w:color="auto"/>
            <w:bottom w:val="none" w:sz="0" w:space="0" w:color="auto"/>
            <w:right w:val="none" w:sz="0" w:space="0" w:color="auto"/>
          </w:divBdr>
          <w:divsChild>
            <w:div w:id="102455517">
              <w:marLeft w:val="0"/>
              <w:marRight w:val="0"/>
              <w:marTop w:val="105"/>
              <w:marBottom w:val="0"/>
              <w:divBdr>
                <w:top w:val="none" w:sz="0" w:space="0" w:color="auto"/>
                <w:left w:val="none" w:sz="0" w:space="0" w:color="auto"/>
                <w:bottom w:val="none" w:sz="0" w:space="0" w:color="auto"/>
                <w:right w:val="none" w:sz="0" w:space="0" w:color="auto"/>
              </w:divBdr>
            </w:div>
          </w:divsChild>
        </w:div>
        <w:div w:id="819201025">
          <w:marLeft w:val="0"/>
          <w:marRight w:val="0"/>
          <w:marTop w:val="0"/>
          <w:marBottom w:val="0"/>
          <w:divBdr>
            <w:top w:val="none" w:sz="0" w:space="0" w:color="auto"/>
            <w:left w:val="none" w:sz="0" w:space="0" w:color="auto"/>
            <w:bottom w:val="none" w:sz="0" w:space="0" w:color="auto"/>
            <w:right w:val="none" w:sz="0" w:space="0" w:color="auto"/>
          </w:divBdr>
          <w:divsChild>
            <w:div w:id="524447062">
              <w:marLeft w:val="0"/>
              <w:marRight w:val="0"/>
              <w:marTop w:val="105"/>
              <w:marBottom w:val="0"/>
              <w:divBdr>
                <w:top w:val="none" w:sz="0" w:space="0" w:color="auto"/>
                <w:left w:val="none" w:sz="0" w:space="0" w:color="auto"/>
                <w:bottom w:val="none" w:sz="0" w:space="0" w:color="auto"/>
                <w:right w:val="none" w:sz="0" w:space="0" w:color="auto"/>
              </w:divBdr>
            </w:div>
          </w:divsChild>
        </w:div>
        <w:div w:id="1719619926">
          <w:marLeft w:val="0"/>
          <w:marRight w:val="0"/>
          <w:marTop w:val="0"/>
          <w:marBottom w:val="0"/>
          <w:divBdr>
            <w:top w:val="none" w:sz="0" w:space="0" w:color="auto"/>
            <w:left w:val="none" w:sz="0" w:space="0" w:color="auto"/>
            <w:bottom w:val="none" w:sz="0" w:space="0" w:color="auto"/>
            <w:right w:val="none" w:sz="0" w:space="0" w:color="auto"/>
          </w:divBdr>
          <w:divsChild>
            <w:div w:id="1609194698">
              <w:marLeft w:val="0"/>
              <w:marRight w:val="0"/>
              <w:marTop w:val="105"/>
              <w:marBottom w:val="0"/>
              <w:divBdr>
                <w:top w:val="none" w:sz="0" w:space="0" w:color="auto"/>
                <w:left w:val="none" w:sz="0" w:space="0" w:color="auto"/>
                <w:bottom w:val="none" w:sz="0" w:space="0" w:color="auto"/>
                <w:right w:val="none" w:sz="0" w:space="0" w:color="auto"/>
              </w:divBdr>
              <w:divsChild>
                <w:div w:id="1960531893">
                  <w:marLeft w:val="0"/>
                  <w:marRight w:val="0"/>
                  <w:marTop w:val="0"/>
                  <w:marBottom w:val="0"/>
                  <w:divBdr>
                    <w:top w:val="none" w:sz="0" w:space="0" w:color="auto"/>
                    <w:left w:val="none" w:sz="0" w:space="0" w:color="auto"/>
                    <w:bottom w:val="none" w:sz="0" w:space="0" w:color="auto"/>
                    <w:right w:val="none" w:sz="0" w:space="0" w:color="auto"/>
                  </w:divBdr>
                  <w:divsChild>
                    <w:div w:id="297499009">
                      <w:marLeft w:val="0"/>
                      <w:marRight w:val="0"/>
                      <w:marTop w:val="0"/>
                      <w:marBottom w:val="0"/>
                      <w:divBdr>
                        <w:top w:val="none" w:sz="0" w:space="0" w:color="auto"/>
                        <w:left w:val="none" w:sz="0" w:space="0" w:color="auto"/>
                        <w:bottom w:val="none" w:sz="0" w:space="0" w:color="auto"/>
                        <w:right w:val="none" w:sz="0" w:space="0" w:color="auto"/>
                      </w:divBdr>
                    </w:div>
                    <w:div w:id="21349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3448">
          <w:marLeft w:val="0"/>
          <w:marRight w:val="0"/>
          <w:marTop w:val="105"/>
          <w:marBottom w:val="0"/>
          <w:divBdr>
            <w:top w:val="none" w:sz="0" w:space="0" w:color="auto"/>
            <w:left w:val="none" w:sz="0" w:space="0" w:color="auto"/>
            <w:bottom w:val="none" w:sz="0" w:space="0" w:color="auto"/>
            <w:right w:val="none" w:sz="0" w:space="0" w:color="auto"/>
          </w:divBdr>
        </w:div>
      </w:divsChild>
    </w:div>
    <w:div w:id="204617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PLAW-104publ191/html/PLAW-104publ191.htm" TargetMode="External"/><Relationship Id="rId18" Type="http://schemas.openxmlformats.org/officeDocument/2006/relationships/hyperlink" Target="http://www.gpo.gov/fdsys/pkg/PLAW-104publ191/html/PLAW-104publ191.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law.cornell.edu/uscode/text/18/lii:usc:t:18:s:24:b" TargetMode="External"/><Relationship Id="rId17" Type="http://schemas.openxmlformats.org/officeDocument/2006/relationships/hyperlink" Target="http://uscode.house.gov/statviewer.htm?volume=110&amp;page=2017"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gpo.gov/fdsys/pkg/PLAW-104publ191/html/PLAW-104publ19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uscode/text/18/lii:usc:t:18:s:24:b"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uscode.house.gov/statviewer.htm?volume=110&amp;page=201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statviewer.htm?volume=110&amp;page=2017"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tiaryCategory xmlns="543e5cd4-d8e2-4a3c-a857-daccca868229" xsi:nil="true"/>
    <Subcategory xmlns="543e5cd4-d8e2-4a3c-a857-daccca868229">9</Subcategory>
    <Category xmlns="543e5cd4-d8e2-4a3c-a857-daccca868229">3</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B371C25B89843A32A479516DEF9FE" ma:contentTypeVersion="4" ma:contentTypeDescription="Create a new document." ma:contentTypeScope="" ma:versionID="ad6aaa1be8a99068dfacb4cb2a63ecf5">
  <xsd:schema xmlns:xsd="http://www.w3.org/2001/XMLSchema" xmlns:xs="http://www.w3.org/2001/XMLSchema" xmlns:p="http://schemas.microsoft.com/office/2006/metadata/properties" xmlns:ns2="543e5cd4-d8e2-4a3c-a857-daccca868229" targetNamespace="http://schemas.microsoft.com/office/2006/metadata/properties" ma:root="true" ma:fieldsID="cfe867023f120e29e3aa298acdb79f81" ns2:_="">
    <xsd:import namespace="543e5cd4-d8e2-4a3c-a857-daccca868229"/>
    <xsd:element name="properties">
      <xsd:complexType>
        <xsd:sequence>
          <xsd:element name="documentManagement">
            <xsd:complexType>
              <xsd:all>
                <xsd:element ref="ns2:Category" minOccurs="0"/>
                <xsd:element ref="ns2:Subcategory" minOccurs="0"/>
                <xsd:element ref="ns2:Tertiary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5cd4-d8e2-4a3c-a857-daccca868229" elementFormDefault="qualified">
    <xsd:import namespace="http://schemas.microsoft.com/office/2006/documentManagement/types"/>
    <xsd:import namespace="http://schemas.microsoft.com/office/infopath/2007/PartnerControls"/>
    <xsd:element name="Category" ma:index="8" nillable="true" ma:displayName="Category" ma:list="{87b3fa5c-3e06-4a3c-8838-f24a468b97ce}" ma:internalName="Category" ma:showField="Title">
      <xsd:simpleType>
        <xsd:restriction base="dms:Lookup"/>
      </xsd:simpleType>
    </xsd:element>
    <xsd:element name="Subcategory" ma:index="9" nillable="true" ma:displayName="Subcategory" ma:list="{f2bd53aa-e3c7-4b42-b9c1-ba412bc64d24}" ma:internalName="Subcategory" ma:showField="Title">
      <xsd:simpleType>
        <xsd:restriction base="dms:Lookup"/>
      </xsd:simpleType>
    </xsd:element>
    <xsd:element name="TertiaryCategory" ma:index="10" nillable="true" ma:displayName="Tertiary Category" ma:list="{86cd39a2-f0fc-4683-b6c4-91384edd7964}" ma:internalName="Tertiary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254B-F99B-44DB-80EF-FDD9C49BCC9B}">
  <ds:schemaRefs>
    <ds:schemaRef ds:uri="http://schemas.microsoft.com/office/2006/metadata/properties"/>
    <ds:schemaRef ds:uri="http://schemas.microsoft.com/office/infopath/2007/PartnerControls"/>
    <ds:schemaRef ds:uri="543e5cd4-d8e2-4a3c-a857-daccca868229"/>
  </ds:schemaRefs>
</ds:datastoreItem>
</file>

<file path=customXml/itemProps2.xml><?xml version="1.0" encoding="utf-8"?>
<ds:datastoreItem xmlns:ds="http://schemas.openxmlformats.org/officeDocument/2006/customXml" ds:itemID="{F6A620B4-1380-47B6-BCB7-C04599FF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5cd4-d8e2-4a3c-a857-daccca86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8F366-5152-451C-91F3-368C19E20E3B}">
  <ds:schemaRefs>
    <ds:schemaRef ds:uri="http://schemas.microsoft.com/sharepoint/v3/contenttype/forms"/>
  </ds:schemaRefs>
</ds:datastoreItem>
</file>

<file path=customXml/itemProps4.xml><?xml version="1.0" encoding="utf-8"?>
<ds:datastoreItem xmlns:ds="http://schemas.openxmlformats.org/officeDocument/2006/customXml" ds:itemID="{38F37BB5-F68A-493E-880C-3D314391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HFPP OCT 20 Special Session_Executive Notes_10 27 16_FINAL</vt:lpstr>
    </vt:vector>
  </TitlesOfParts>
  <Company>CSC</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HFPP OCT 20 Special Session_Executive Notes_10 27 16_FINAL</dc:title>
  <dc:subject>HFPP-EB</dc:subject>
  <dc:creator>cswyers</dc:creator>
  <cp:lastModifiedBy>Suzan Boeck</cp:lastModifiedBy>
  <cp:revision>38</cp:revision>
  <cp:lastPrinted>2016-08-24T13:38:00Z</cp:lastPrinted>
  <dcterms:created xsi:type="dcterms:W3CDTF">2017-01-05T00:09:00Z</dcterms:created>
  <dcterms:modified xsi:type="dcterms:W3CDTF">2017-01-09T21:40:00Z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LastSaved">
    <vt:filetime>2016-03-02T00:00:00Z</vt:filetime>
  </property>
  <property fmtid="{D5CDD505-2E9C-101B-9397-08002B2CF9AE}" pid="4" name="ContentTypeId">
    <vt:lpwstr>0x010100B01B371C25B89843A32A479516DEF9FE</vt:lpwstr>
  </property>
  <property fmtid="{D5CDD505-2E9C-101B-9397-08002B2CF9AE}" pid="5" name="_dlc_DocIdItemGuid">
    <vt:lpwstr>275e9a9b-819c-493a-89cc-c1feefd40d04</vt:lpwstr>
  </property>
  <property fmtid="{D5CDD505-2E9C-101B-9397-08002B2CF9AE}" pid="6" name="WorkflowChangePath">
    <vt:lpwstr>f23ebe5f-8869-4048-8645-3d3f9aa90a62,4;f23ebe5f-8869-4048-8645-3d3f9aa90a62,13;f23ebe5f-8869-4048-8645-3d3f9aa90a62,4;f23ebe5f-8869-4048-8645-3d3f9aa90a62,10;f23ebe5f-8869-4048-8645-3d3f9aa90a62,4;f23ebe5f-8869-4048-8645-3d3f9aa90a62,18;f23ebe5f-8869-4048</vt:lpwstr>
  </property>
  <property fmtid="{D5CDD505-2E9C-101B-9397-08002B2CF9AE}" pid="7" name="_NewReviewCycle">
    <vt:lpwstr/>
  </property>
</Properties>
</file>